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D5C28">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16</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510033</w:t>
      </w:r>
      <w:bookmarkStart w:id="13" w:name="_GoBack"/>
      <w:bookmarkEnd w:id="13"/>
    </w:p>
    <w:p w14:paraId="420CECAF">
      <w:pPr>
        <w:pStyle w:val="17"/>
        <w:tabs>
          <w:tab w:val="right" w:pos="9781"/>
          <w:tab w:val="right" w:pos="13323"/>
          <w:tab w:val="clear" w:pos="4153"/>
          <w:tab w:val="clear" w:pos="8306"/>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14:paraId="21005522">
      <w:pPr>
        <w:tabs>
          <w:tab w:val="left" w:pos="1765"/>
          <w:tab w:val="center" w:pos="4557"/>
        </w:tabs>
        <w:rPr>
          <w:b/>
          <w:sz w:val="22"/>
        </w:rPr>
      </w:pPr>
    </w:p>
    <w:p w14:paraId="2BA5A307">
      <w:pPr>
        <w:tabs>
          <w:tab w:val="left" w:pos="1765"/>
          <w:tab w:val="center" w:pos="4557"/>
        </w:tabs>
        <w:rPr>
          <w:rFonts w:hint="default" w:eastAsiaTheme="minorEastAsia"/>
          <w:b/>
          <w:sz w:val="22"/>
          <w:lang w:val="en-US" w:eastAsia="zh-CN"/>
        </w:rPr>
      </w:pPr>
      <w:r>
        <w:rPr>
          <w:b/>
          <w:sz w:val="22"/>
        </w:rPr>
        <w:t>Agend</w:t>
      </w:r>
      <w:r>
        <w:rPr>
          <w:b/>
          <w:sz w:val="22"/>
          <w:highlight w:val="none"/>
        </w:rPr>
        <w:t>a Item:</w:t>
      </w:r>
      <w:r>
        <w:rPr>
          <w:b/>
          <w:sz w:val="22"/>
          <w:highlight w:val="none"/>
        </w:rPr>
        <w:tab/>
      </w:r>
      <w:r>
        <w:rPr>
          <w:rFonts w:hint="eastAsia"/>
          <w:sz w:val="22"/>
          <w:highlight w:val="none"/>
          <w:lang w:val="en-US" w:eastAsia="zh-CN"/>
        </w:rPr>
        <w:t>7.27.5.1</w:t>
      </w:r>
    </w:p>
    <w:p w14:paraId="745AAAD4">
      <w:pPr>
        <w:tabs>
          <w:tab w:val="left" w:pos="1765"/>
        </w:tabs>
        <w:rPr>
          <w:sz w:val="22"/>
        </w:rPr>
      </w:pPr>
      <w:r>
        <w:rPr>
          <w:b/>
          <w:sz w:val="22"/>
        </w:rPr>
        <w:t xml:space="preserve">Source: </w:t>
      </w:r>
      <w:r>
        <w:rPr>
          <w:b/>
          <w:sz w:val="22"/>
        </w:rPr>
        <w:tab/>
      </w:r>
      <w:bookmarkStart w:id="1" w:name="_Hlk41145958"/>
      <w:r>
        <w:rPr>
          <w:sz w:val="22"/>
        </w:rPr>
        <w:t>CMCC</w:t>
      </w:r>
      <w:bookmarkEnd w:id="1"/>
    </w:p>
    <w:p w14:paraId="458C21CA">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r>
        <w:rPr>
          <w:rFonts w:hint="eastAsia"/>
          <w:sz w:val="22"/>
        </w:rPr>
        <w:t xml:space="preserve">Discussion on the RRM requirement </w:t>
      </w:r>
      <w:r>
        <w:rPr>
          <w:rFonts w:hint="eastAsia"/>
          <w:sz w:val="22"/>
          <w:lang w:val="en-US" w:eastAsia="zh-CN"/>
        </w:rPr>
        <w:t xml:space="preserve">of (e)Redcap UE </w:t>
      </w:r>
      <w:r>
        <w:rPr>
          <w:rFonts w:hint="eastAsia"/>
          <w:sz w:val="22"/>
        </w:rPr>
        <w:t>for NTN phase3</w:t>
      </w:r>
    </w:p>
    <w:bookmarkEnd w:id="3"/>
    <w:bookmarkEnd w:id="4"/>
    <w:p w14:paraId="5F6D89EA">
      <w:pPr>
        <w:tabs>
          <w:tab w:val="left" w:pos="1765"/>
        </w:tabs>
        <w:rPr>
          <w:sz w:val="22"/>
        </w:rPr>
      </w:pPr>
      <w:r>
        <w:rPr>
          <w:b/>
          <w:sz w:val="22"/>
        </w:rPr>
        <w:t>Document for:</w:t>
      </w:r>
      <w:r>
        <w:rPr>
          <w:b/>
          <w:sz w:val="22"/>
        </w:rPr>
        <w:tab/>
      </w:r>
      <w:r>
        <w:rPr>
          <w:sz w:val="22"/>
        </w:rPr>
        <w:t>Discussion</w:t>
      </w:r>
    </w:p>
    <w:p w14:paraId="16CF6D08">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11A9E04">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In last meeting, RAN4 discussed (e)RedCap UEs over NR FR1-NTN. The WF has been approved in [1]. </w:t>
      </w:r>
    </w:p>
    <w:p w14:paraId="4D5A168E">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specific requirements</w:t>
      </w:r>
      <w:r>
        <w:rPr>
          <w:rFonts w:eastAsia="等线"/>
          <w:sz w:val="20"/>
          <w:szCs w:val="20"/>
        </w:rPr>
        <w:t>.</w:t>
      </w:r>
    </w:p>
    <w:p w14:paraId="1EA5D032">
      <w:pPr>
        <w:pStyle w:val="2"/>
        <w:numPr>
          <w:ilvl w:val="0"/>
          <w:numId w:val="5"/>
        </w:numPr>
        <w:pBdr>
          <w:top w:val="single" w:color="auto" w:sz="12" w:space="3"/>
        </w:pBdr>
        <w:spacing w:before="120" w:after="60" w:line="240" w:lineRule="auto"/>
        <w:rPr>
          <w:rFonts w:hint="eastAsia" w:ascii="Times New Roman" w:hAnsi="Times New Roman"/>
          <w:b w:val="0"/>
          <w:bCs w:val="0"/>
          <w:kern w:val="0"/>
          <w:sz w:val="36"/>
          <w:szCs w:val="36"/>
          <w:lang w:val="en-US" w:eastAsia="ja-JP"/>
        </w:rPr>
      </w:pPr>
      <w:bookmarkStart w:id="5" w:name="_Hlk147849822"/>
      <w:bookmarkStart w:id="6" w:name="_Hlk70326378"/>
      <w:bookmarkStart w:id="7" w:name="OLE_LINK1"/>
      <w:bookmarkStart w:id="8" w:name="OLE_LINK2"/>
      <w:r>
        <w:rPr>
          <w:rFonts w:hint="eastAsia" w:ascii="Times New Roman" w:hAnsi="Times New Roman"/>
          <w:b w:val="0"/>
          <w:bCs w:val="0"/>
          <w:kern w:val="0"/>
          <w:sz w:val="36"/>
          <w:szCs w:val="36"/>
          <w:lang w:val="en-US" w:eastAsia="ja-JP"/>
        </w:rPr>
        <w:t>General consideration on RRM requirements</w:t>
      </w:r>
    </w:p>
    <w:p w14:paraId="1C3F63E9">
      <w:pPr>
        <w:numPr>
          <w:ilvl w:val="1"/>
          <w:numId w:val="5"/>
        </w:numPr>
        <w:pBdr>
          <w:top w:val="single" w:color="auto" w:sz="12" w:space="3"/>
        </w:pBdr>
        <w:tabs>
          <w:tab w:val="left" w:pos="432"/>
        </w:tabs>
        <w:spacing w:before="120" w:after="60" w:line="240" w:lineRule="auto"/>
        <w:ind w:left="567" w:leftChars="0" w:hanging="567" w:firstLineChars="0"/>
        <w:outlineLvl w:val="1"/>
        <w:rPr>
          <w:rFonts w:hint="eastAsia" w:ascii="Times New Roman" w:hAnsi="Times New Roman"/>
          <w:b w:val="0"/>
          <w:bCs w:val="0"/>
          <w:kern w:val="0"/>
          <w:sz w:val="28"/>
          <w:szCs w:val="28"/>
          <w:lang w:val="en-US" w:eastAsia="ja-JP"/>
        </w:rPr>
      </w:pPr>
      <w:r>
        <w:rPr>
          <w:rFonts w:hint="eastAsia" w:ascii="Times New Roman" w:hAnsi="Times New Roman"/>
          <w:b w:val="0"/>
          <w:bCs w:val="0"/>
          <w:kern w:val="0"/>
          <w:sz w:val="28"/>
          <w:szCs w:val="28"/>
          <w:lang w:val="en-US" w:eastAsia="zh-CN"/>
        </w:rPr>
        <w:t xml:space="preserve"> </w:t>
      </w:r>
      <w:r>
        <w:rPr>
          <w:rFonts w:hint="eastAsia" w:ascii="Times New Roman" w:hAnsi="Times New Roman"/>
          <w:b w:val="0"/>
          <w:bCs w:val="0"/>
          <w:kern w:val="0"/>
          <w:sz w:val="28"/>
          <w:szCs w:val="28"/>
          <w:lang w:val="en-US" w:eastAsia="ja-JP"/>
        </w:rPr>
        <w:t>What RRM requirements are defined for (e)RedCap UE with FR1-NTN</w:t>
      </w:r>
    </w:p>
    <w:p w14:paraId="3385AD78">
      <w:pPr>
        <w:keepNext/>
        <w:keepLines/>
        <w:pageBreakBefore w:val="0"/>
        <w:widowControl/>
        <w:kinsoku/>
        <w:wordWrap/>
        <w:topLinePunct w:val="0"/>
        <w:bidi w:val="0"/>
        <w:spacing w:before="60" w:after="60" w:line="240" w:lineRule="auto"/>
        <w:outlineLvl w:val="3"/>
        <w:rPr>
          <w:rFonts w:ascii="Times New Roman" w:hAnsi="Times New Roman" w:eastAsia="宋体" w:cs="Times New Roman"/>
          <w:b/>
          <w:bCs/>
          <w:i/>
          <w:iCs/>
          <w:sz w:val="20"/>
          <w:szCs w:val="20"/>
          <w:u w:val="single"/>
          <w:lang w:val="en-US" w:eastAsia="en-US" w:bidi="ar-SA"/>
        </w:rPr>
      </w:pPr>
      <w:r>
        <w:rPr>
          <w:rFonts w:ascii="Times New Roman" w:hAnsi="Times New Roman" w:eastAsia="宋体" w:cs="Times New Roman"/>
          <w:b/>
          <w:bCs/>
          <w:i/>
          <w:iCs/>
          <w:sz w:val="20"/>
          <w:szCs w:val="20"/>
          <w:u w:val="single"/>
          <w:lang w:val="en-US" w:eastAsia="ko-KR" w:bidi="ar-SA"/>
        </w:rPr>
        <w:t xml:space="preserve">Issue </w:t>
      </w:r>
      <w:r>
        <w:rPr>
          <w:rFonts w:hint="eastAsia" w:ascii="Times New Roman" w:hAnsi="Times New Roman" w:eastAsia="宋体" w:cs="Times New Roman"/>
          <w:b/>
          <w:bCs/>
          <w:i/>
          <w:iCs/>
          <w:sz w:val="20"/>
          <w:szCs w:val="20"/>
          <w:u w:val="single"/>
          <w:lang w:val="en-US" w:eastAsia="en-US" w:bidi="ar-SA"/>
        </w:rPr>
        <w:t>1</w:t>
      </w:r>
      <w:r>
        <w:rPr>
          <w:rFonts w:ascii="Times New Roman" w:hAnsi="Times New Roman" w:eastAsia="宋体" w:cs="Times New Roman"/>
          <w:b/>
          <w:bCs/>
          <w:i/>
          <w:iCs/>
          <w:sz w:val="20"/>
          <w:szCs w:val="20"/>
          <w:u w:val="single"/>
          <w:lang w:val="en-US" w:eastAsia="ko-KR" w:bidi="ar-SA"/>
        </w:rPr>
        <w:t>-</w:t>
      </w:r>
      <w:r>
        <w:rPr>
          <w:rFonts w:hint="eastAsia" w:ascii="Times New Roman" w:hAnsi="Times New Roman" w:eastAsia="宋体" w:cs="Times New Roman"/>
          <w:b/>
          <w:bCs/>
          <w:i/>
          <w:iCs/>
          <w:sz w:val="20"/>
          <w:szCs w:val="20"/>
          <w:u w:val="single"/>
          <w:lang w:val="en-US" w:eastAsia="en-US" w:bidi="ar-SA"/>
        </w:rPr>
        <w:t>1</w:t>
      </w:r>
      <w:r>
        <w:rPr>
          <w:rFonts w:ascii="Times New Roman" w:hAnsi="Times New Roman" w:eastAsia="宋体" w:cs="Times New Roman"/>
          <w:b/>
          <w:bCs/>
          <w:i/>
          <w:iCs/>
          <w:sz w:val="20"/>
          <w:szCs w:val="20"/>
          <w:u w:val="single"/>
          <w:lang w:val="en-US" w:eastAsia="ko-KR" w:bidi="ar-SA"/>
        </w:rPr>
        <w:t>-</w:t>
      </w:r>
      <w:r>
        <w:rPr>
          <w:rFonts w:hint="eastAsia" w:ascii="Times New Roman" w:hAnsi="Times New Roman" w:eastAsia="宋体" w:cs="Times New Roman"/>
          <w:b/>
          <w:bCs/>
          <w:i/>
          <w:iCs/>
          <w:sz w:val="20"/>
          <w:szCs w:val="20"/>
          <w:u w:val="single"/>
          <w:lang w:val="en-US" w:eastAsia="en-US" w:bidi="ar-SA"/>
        </w:rPr>
        <w:t>2</w:t>
      </w:r>
      <w:r>
        <w:rPr>
          <w:rFonts w:ascii="Times New Roman" w:hAnsi="Times New Roman" w:eastAsia="宋体" w:cs="Times New Roman"/>
          <w:b/>
          <w:bCs/>
          <w:i/>
          <w:iCs/>
          <w:sz w:val="20"/>
          <w:szCs w:val="20"/>
          <w:u w:val="single"/>
          <w:lang w:val="en-US" w:eastAsia="ko-KR" w:bidi="ar-SA"/>
        </w:rPr>
        <w:t xml:space="preserve">: </w:t>
      </w:r>
      <w:r>
        <w:rPr>
          <w:rFonts w:hint="eastAsia" w:ascii="Times New Roman" w:hAnsi="Times New Roman" w:eastAsia="宋体" w:cs="Times New Roman"/>
          <w:b/>
          <w:bCs/>
          <w:i/>
          <w:iCs/>
          <w:sz w:val="20"/>
          <w:szCs w:val="20"/>
          <w:u w:val="single"/>
          <w:lang w:val="en-US" w:eastAsia="en-US" w:bidi="ar-SA"/>
        </w:rPr>
        <w:t>MDT r</w:t>
      </w:r>
      <w:r>
        <w:rPr>
          <w:rFonts w:ascii="Times New Roman" w:hAnsi="Times New Roman" w:eastAsia="宋体" w:cs="Times New Roman"/>
          <w:b/>
          <w:bCs/>
          <w:i/>
          <w:iCs/>
          <w:sz w:val="20"/>
          <w:szCs w:val="20"/>
          <w:u w:val="single"/>
          <w:lang w:val="en-US" w:eastAsia="ko-KR" w:bidi="ar-SA"/>
        </w:rPr>
        <w:t>equirements</w:t>
      </w:r>
    </w:p>
    <w:p w14:paraId="4F8D706F">
      <w:pPr>
        <w:pageBreakBefore w:val="0"/>
        <w:widowControl/>
        <w:numPr>
          <w:ilvl w:val="0"/>
          <w:numId w:val="6"/>
        </w:numPr>
        <w:kinsoku/>
        <w:wordWrap/>
        <w:topLinePunct w:val="0"/>
        <w:bidi w:val="0"/>
        <w:spacing w:before="60" w:after="60"/>
        <w:ind w:left="720"/>
        <w:contextualSpacing w:val="0"/>
        <w:rPr>
          <w:rFonts w:ascii="Times New Roman" w:hAnsi="Times New Roman" w:eastAsia="宋体" w:cs="Times New Roman"/>
          <w:b w:val="0"/>
          <w:bCs w:val="0"/>
          <w:i/>
          <w:iCs/>
          <w:sz w:val="20"/>
          <w:szCs w:val="20"/>
          <w:lang w:val="en-US" w:eastAsia="en-US" w:bidi="ar-SA"/>
        </w:rPr>
      </w:pPr>
      <w:r>
        <w:rPr>
          <w:rFonts w:hint="eastAsia" w:ascii="Times New Roman" w:hAnsi="Times New Roman" w:eastAsia="宋体" w:cs="Times New Roman"/>
          <w:b w:val="0"/>
          <w:bCs w:val="0"/>
          <w:i/>
          <w:iCs/>
          <w:sz w:val="20"/>
          <w:szCs w:val="20"/>
          <w:lang w:val="en-US" w:eastAsia="en-US" w:bidi="ar-SA"/>
        </w:rPr>
        <w:t>Background</w:t>
      </w:r>
    </w:p>
    <w:p w14:paraId="6BE9916D">
      <w:pPr>
        <w:pageBreakBefore w:val="0"/>
        <w:widowControl/>
        <w:kinsoku/>
        <w:wordWrap/>
        <w:topLinePunct w:val="0"/>
        <w:bidi w:val="0"/>
        <w:spacing w:before="60" w:after="60"/>
        <w:rPr>
          <w:rFonts w:eastAsia="宋体"/>
          <w:b w:val="0"/>
          <w:bCs w:val="0"/>
          <w:i/>
          <w:iCs/>
          <w:color w:val="0070C0"/>
          <w:sz w:val="20"/>
          <w:szCs w:val="20"/>
          <w:lang w:eastAsia="en-US"/>
        </w:rPr>
      </w:pPr>
      <w:r>
        <w:rPr>
          <w:rFonts w:hint="eastAsia" w:eastAsia="宋体"/>
          <w:b w:val="0"/>
          <w:bCs w:val="0"/>
          <w:i/>
          <w:iCs/>
          <w:color w:val="0070C0"/>
          <w:sz w:val="20"/>
          <w:szCs w:val="20"/>
          <w:lang w:eastAsia="en-US"/>
        </w:rPr>
        <w:t>The agreement in</w:t>
      </w:r>
      <w:r>
        <w:rPr>
          <w:rFonts w:eastAsia="宋体"/>
          <w:b w:val="0"/>
          <w:bCs w:val="0"/>
          <w:i/>
          <w:iCs/>
          <w:color w:val="0070C0"/>
          <w:sz w:val="20"/>
          <w:szCs w:val="20"/>
          <w:lang w:eastAsia="en-US"/>
        </w:rPr>
        <w:t xml:space="preserve"> the </w:t>
      </w:r>
      <w:r>
        <w:rPr>
          <w:rFonts w:hint="eastAsia" w:eastAsia="宋体"/>
          <w:b w:val="0"/>
          <w:bCs w:val="0"/>
          <w:i/>
          <w:iCs/>
          <w:color w:val="0070C0"/>
          <w:sz w:val="20"/>
          <w:szCs w:val="20"/>
          <w:lang w:eastAsia="en-US"/>
        </w:rPr>
        <w:t>previous</w:t>
      </w:r>
      <w:r>
        <w:rPr>
          <w:rFonts w:eastAsia="宋体"/>
          <w:b w:val="0"/>
          <w:bCs w:val="0"/>
          <w:i/>
          <w:iCs/>
          <w:color w:val="0070C0"/>
          <w:sz w:val="20"/>
          <w:szCs w:val="20"/>
          <w:lang w:eastAsia="en-US"/>
        </w:rPr>
        <w:t xml:space="preserve"> meeting</w:t>
      </w:r>
      <w:r>
        <w:rPr>
          <w:rFonts w:hint="eastAsia" w:eastAsia="宋体"/>
          <w:b w:val="0"/>
          <w:bCs w:val="0"/>
          <w:i/>
          <w:iCs/>
          <w:color w:val="0070C0"/>
          <w:sz w:val="20"/>
          <w:szCs w:val="20"/>
          <w:lang w:eastAsia="en-US"/>
        </w:rPr>
        <w:t>:</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5"/>
      </w:tblGrid>
      <w:tr w14:paraId="6748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7E49DEE">
            <w:pPr>
              <w:pageBreakBefore w:val="0"/>
              <w:widowControl/>
              <w:kinsoku/>
              <w:wordWrap/>
              <w:topLinePunct w:val="0"/>
              <w:bidi w:val="0"/>
              <w:spacing w:before="60" w:after="60"/>
              <w:rPr>
                <w:rFonts w:eastAsia="宋体"/>
                <w:b w:val="0"/>
                <w:bCs w:val="0"/>
                <w:i/>
                <w:iCs/>
                <w:color w:val="0070C0"/>
                <w:sz w:val="20"/>
                <w:szCs w:val="20"/>
                <w:lang w:val="en-GB" w:eastAsia="en-US"/>
              </w:rPr>
            </w:pPr>
            <w:r>
              <w:rPr>
                <w:rFonts w:hint="eastAsia" w:eastAsia="宋体"/>
                <w:b w:val="0"/>
                <w:bCs w:val="0"/>
                <w:i/>
                <w:iCs/>
                <w:color w:val="0070C0"/>
                <w:sz w:val="20"/>
                <w:szCs w:val="20"/>
                <w:lang w:val="en-GB" w:eastAsia="en-US"/>
              </w:rPr>
              <w:t>RAN4#114:</w:t>
            </w:r>
          </w:p>
          <w:p w14:paraId="3EBC40B3">
            <w:pPr>
              <w:keepNext/>
              <w:keepLines/>
              <w:pageBreakBefore w:val="0"/>
              <w:widowControl/>
              <w:kinsoku/>
              <w:wordWrap/>
              <w:topLinePunct w:val="0"/>
              <w:bidi w:val="0"/>
              <w:spacing w:before="60" w:after="60"/>
              <w:outlineLvl w:val="3"/>
              <w:rPr>
                <w:rFonts w:eastAsia="宋体"/>
                <w:b w:val="0"/>
                <w:bCs w:val="0"/>
                <w:i/>
                <w:iCs/>
                <w:color w:val="0070C0"/>
                <w:sz w:val="20"/>
                <w:szCs w:val="20"/>
                <w:u w:val="single"/>
                <w:lang w:eastAsia="en-US"/>
              </w:rPr>
            </w:pPr>
            <w:r>
              <w:rPr>
                <w:rFonts w:eastAsia="宋体"/>
                <w:b w:val="0"/>
                <w:bCs w:val="0"/>
                <w:i/>
                <w:iCs/>
                <w:color w:val="0070C0"/>
                <w:sz w:val="20"/>
                <w:szCs w:val="20"/>
                <w:u w:val="single"/>
                <w:lang w:eastAsia="ko-KR"/>
              </w:rPr>
              <w:t>Issue 1-1-3: MDT requirements</w:t>
            </w:r>
          </w:p>
          <w:p w14:paraId="50A37B67">
            <w:pPr>
              <w:pageBreakBefore w:val="0"/>
              <w:widowControl/>
              <w:kinsoku/>
              <w:wordWrap/>
              <w:overflowPunct w:val="0"/>
              <w:topLinePunct w:val="0"/>
              <w:autoSpaceDE w:val="0"/>
              <w:autoSpaceDN w:val="0"/>
              <w:bidi w:val="0"/>
              <w:adjustRightInd w:val="0"/>
              <w:snapToGrid w:val="0"/>
              <w:spacing w:before="60" w:after="60"/>
              <w:textAlignment w:val="baseline"/>
              <w:rPr>
                <w:rFonts w:eastAsia="等线"/>
                <w:b w:val="0"/>
                <w:bCs w:val="0"/>
                <w:i/>
                <w:iCs/>
                <w:color w:val="0070C0"/>
                <w:sz w:val="20"/>
                <w:szCs w:val="20"/>
                <w:lang w:eastAsia="en-US"/>
              </w:rPr>
            </w:pPr>
            <w:r>
              <w:rPr>
                <w:rFonts w:hint="eastAsia" w:eastAsia="等线"/>
                <w:b w:val="0"/>
                <w:bCs w:val="0"/>
                <w:i/>
                <w:iCs/>
                <w:color w:val="0070C0"/>
                <w:sz w:val="20"/>
                <w:szCs w:val="20"/>
                <w:lang w:eastAsia="en-US"/>
              </w:rPr>
              <w:t>A</w:t>
            </w:r>
            <w:r>
              <w:rPr>
                <w:rFonts w:eastAsia="等线"/>
                <w:b w:val="0"/>
                <w:bCs w:val="0"/>
                <w:i/>
                <w:iCs/>
                <w:color w:val="0070C0"/>
                <w:sz w:val="20"/>
                <w:szCs w:val="20"/>
                <w:lang w:eastAsia="en-US"/>
              </w:rPr>
              <w:t>greement:</w:t>
            </w:r>
          </w:p>
          <w:p w14:paraId="42DF46C8">
            <w:pPr>
              <w:pageBreakBefore w:val="0"/>
              <w:widowControl/>
              <w:numPr>
                <w:ilvl w:val="0"/>
                <w:numId w:val="6"/>
              </w:numPr>
              <w:kinsoku/>
              <w:wordWrap/>
              <w:topLinePunct w:val="0"/>
              <w:bidi w:val="0"/>
              <w:spacing w:before="60" w:after="60"/>
              <w:ind w:left="720"/>
              <w:rPr>
                <w:rFonts w:eastAsia="Times New Roman"/>
                <w:b w:val="0"/>
                <w:bCs w:val="0"/>
                <w:i/>
                <w:iCs/>
                <w:color w:val="0070C0"/>
                <w:sz w:val="20"/>
                <w:szCs w:val="20"/>
                <w:lang w:eastAsia="en-US"/>
              </w:rPr>
            </w:pPr>
            <w:r>
              <w:rPr>
                <w:rFonts w:eastAsia="Times New Roman"/>
                <w:b w:val="0"/>
                <w:bCs w:val="0"/>
                <w:i/>
                <w:iCs/>
                <w:color w:val="0070C0"/>
                <w:sz w:val="20"/>
                <w:szCs w:val="20"/>
                <w:lang w:eastAsia="en-US"/>
              </w:rPr>
              <w:t>For MDT requirements in RRC_IDLE and RRC_INACTIVE state,</w:t>
            </w:r>
          </w:p>
          <w:p w14:paraId="5AE6EECC">
            <w:pPr>
              <w:pageBreakBefore w:val="0"/>
              <w:widowControl/>
              <w:numPr>
                <w:ilvl w:val="1"/>
                <w:numId w:val="6"/>
              </w:numPr>
              <w:kinsoku/>
              <w:wordWrap/>
              <w:topLinePunct w:val="0"/>
              <w:bidi w:val="0"/>
              <w:spacing w:before="60" w:after="60"/>
              <w:ind w:left="1236" w:hanging="360"/>
              <w:contextualSpacing w:val="0"/>
              <w:rPr>
                <w:rFonts w:ascii="Times New Roman" w:hAnsi="Times New Roman" w:eastAsia="Times New Roman" w:cs="Times New Roman"/>
                <w:b w:val="0"/>
                <w:bCs w:val="0"/>
                <w:i/>
                <w:iCs/>
                <w:color w:val="0070C0"/>
                <w:sz w:val="20"/>
                <w:szCs w:val="20"/>
                <w:lang w:val="en-US" w:eastAsia="en-US" w:bidi="ar-SA"/>
              </w:rPr>
            </w:pPr>
            <w:r>
              <w:rPr>
                <w:rFonts w:ascii="Times New Roman" w:hAnsi="Times New Roman" w:eastAsia="Malgun Gothic" w:cs="Times New Roman"/>
                <w:b w:val="0"/>
                <w:bCs w:val="0"/>
                <w:i/>
                <w:iCs/>
                <w:color w:val="0070C0"/>
                <w:sz w:val="20"/>
                <w:szCs w:val="20"/>
                <w:lang w:val="en-US" w:eastAsia="en-US" w:bidi="ar-SA"/>
              </w:rPr>
              <w:t>Deprioritize to define Minimization of Drive Tests (MDT) requirements in RRC_IDLE state and RRC_INACTIVE state for (e)RedCap UE with FR1-NTN.</w:t>
            </w:r>
          </w:p>
        </w:tc>
      </w:tr>
    </w:tbl>
    <w:p w14:paraId="27F77DA9">
      <w:pPr>
        <w:pageBreakBefore w:val="0"/>
        <w:widowControl/>
        <w:kinsoku/>
        <w:wordWrap/>
        <w:topLinePunct w:val="0"/>
        <w:bidi w:val="0"/>
        <w:spacing w:before="60" w:after="60"/>
        <w:rPr>
          <w:rFonts w:eastAsia="宋体"/>
          <w:b w:val="0"/>
          <w:bCs w:val="0"/>
          <w:i/>
          <w:iCs/>
          <w:sz w:val="20"/>
          <w:szCs w:val="20"/>
          <w:lang w:eastAsia="zh-CN"/>
        </w:rPr>
      </w:pPr>
      <w:r>
        <w:rPr>
          <w:rFonts w:eastAsia="宋体"/>
          <w:b w:val="0"/>
          <w:bCs w:val="0"/>
          <w:i/>
          <w:iCs/>
          <w:sz w:val="20"/>
          <w:szCs w:val="20"/>
          <w:lang w:eastAsia="en-US"/>
        </w:rPr>
        <w:t>&lt;Way Forward&gt;</w:t>
      </w:r>
      <w:r>
        <w:rPr>
          <w:rFonts w:hint="eastAsia" w:eastAsia="宋体"/>
          <w:b w:val="0"/>
          <w:bCs w:val="0"/>
          <w:i/>
          <w:iCs/>
          <w:sz w:val="20"/>
          <w:szCs w:val="20"/>
          <w:lang w:eastAsia="zh-CN"/>
        </w:rPr>
        <w:t>:</w:t>
      </w:r>
    </w:p>
    <w:p w14:paraId="3DE98E7F">
      <w:pPr>
        <w:pageBreakBefore w:val="0"/>
        <w:widowControl/>
        <w:numPr>
          <w:ilvl w:val="1"/>
          <w:numId w:val="6"/>
        </w:numPr>
        <w:kinsoku/>
        <w:wordWrap/>
        <w:topLinePunct w:val="0"/>
        <w:bidi w:val="0"/>
        <w:spacing w:before="60" w:after="60"/>
        <w:ind w:left="1236" w:hanging="360"/>
        <w:contextualSpacing w:val="0"/>
        <w:rPr>
          <w:rFonts w:ascii="Times New Roman" w:hAnsi="Times New Roman" w:eastAsia="宋体" w:cs="Times New Roman"/>
          <w:b w:val="0"/>
          <w:bCs w:val="0"/>
          <w:i/>
          <w:iCs/>
          <w:sz w:val="20"/>
          <w:szCs w:val="20"/>
          <w:lang w:val="en-US" w:eastAsia="en-US" w:bidi="ar-SA"/>
        </w:rPr>
      </w:pPr>
      <w:r>
        <w:rPr>
          <w:rFonts w:ascii="Times New Roman" w:hAnsi="Times New Roman" w:eastAsia="宋体" w:cs="Times New Roman"/>
          <w:b w:val="0"/>
          <w:bCs w:val="0"/>
          <w:i/>
          <w:iCs/>
          <w:sz w:val="20"/>
          <w:szCs w:val="20"/>
          <w:lang w:val="en-US" w:eastAsia="en-US" w:bidi="ar-SA"/>
        </w:rPr>
        <w:t xml:space="preserve">Proposal </w:t>
      </w:r>
      <w:r>
        <w:rPr>
          <w:rFonts w:hint="eastAsia" w:ascii="Times New Roman" w:hAnsi="Times New Roman" w:eastAsia="宋体" w:cs="Times New Roman"/>
          <w:b w:val="0"/>
          <w:bCs w:val="0"/>
          <w:i/>
          <w:iCs/>
          <w:sz w:val="20"/>
          <w:szCs w:val="20"/>
          <w:lang w:val="en-US" w:eastAsia="en-US" w:bidi="ar-SA"/>
        </w:rPr>
        <w:t>1</w:t>
      </w:r>
      <w:r>
        <w:rPr>
          <w:rFonts w:ascii="Times New Roman" w:hAnsi="Times New Roman" w:eastAsia="宋体" w:cs="Times New Roman"/>
          <w:b w:val="0"/>
          <w:bCs w:val="0"/>
          <w:i/>
          <w:iCs/>
          <w:sz w:val="20"/>
          <w:szCs w:val="20"/>
          <w:lang w:val="en-US" w:eastAsia="en-US" w:bidi="ar-SA"/>
        </w:rPr>
        <w:t>: Not to define the MDT requirements in RRC_IDLE and RRC_INACTIVE state for RedCap with NTN.</w:t>
      </w:r>
    </w:p>
    <w:p w14:paraId="4453BA0D">
      <w:pPr>
        <w:pageBreakBefore w:val="0"/>
        <w:widowControl/>
        <w:numPr>
          <w:ilvl w:val="1"/>
          <w:numId w:val="6"/>
        </w:numPr>
        <w:kinsoku/>
        <w:wordWrap/>
        <w:topLinePunct w:val="0"/>
        <w:bidi w:val="0"/>
        <w:spacing w:before="60" w:after="60"/>
        <w:ind w:left="1236" w:hanging="360"/>
        <w:contextualSpacing w:val="0"/>
        <w:rPr>
          <w:rFonts w:ascii="Times New Roman" w:hAnsi="Times New Roman" w:eastAsia="宋体" w:cs="Times New Roman"/>
          <w:b w:val="0"/>
          <w:bCs w:val="0"/>
          <w:i/>
          <w:iCs/>
          <w:sz w:val="20"/>
          <w:szCs w:val="20"/>
          <w:lang w:val="en-US" w:eastAsia="en-US" w:bidi="ar-SA"/>
        </w:rPr>
      </w:pPr>
      <w:r>
        <w:rPr>
          <w:rFonts w:ascii="Times New Roman" w:hAnsi="Times New Roman" w:eastAsia="宋体" w:cs="Times New Roman"/>
          <w:b w:val="0"/>
          <w:bCs w:val="0"/>
          <w:i/>
          <w:iCs/>
          <w:sz w:val="20"/>
          <w:szCs w:val="20"/>
          <w:lang w:val="en-US" w:eastAsia="en-US" w:bidi="ar-SA"/>
        </w:rPr>
        <w:t xml:space="preserve">Proposal </w:t>
      </w:r>
      <w:r>
        <w:rPr>
          <w:rFonts w:hint="eastAsia" w:ascii="Times New Roman" w:hAnsi="Times New Roman" w:eastAsia="宋体" w:cs="Times New Roman"/>
          <w:b w:val="0"/>
          <w:bCs w:val="0"/>
          <w:i/>
          <w:iCs/>
          <w:sz w:val="20"/>
          <w:szCs w:val="20"/>
          <w:lang w:val="en-US" w:eastAsia="en-US" w:bidi="ar-SA"/>
        </w:rPr>
        <w:t>2</w:t>
      </w:r>
      <w:r>
        <w:rPr>
          <w:rFonts w:ascii="Times New Roman" w:hAnsi="Times New Roman" w:eastAsia="宋体" w:cs="Times New Roman"/>
          <w:b w:val="0"/>
          <w:bCs w:val="0"/>
          <w:i/>
          <w:iCs/>
          <w:sz w:val="20"/>
          <w:szCs w:val="20"/>
          <w:lang w:val="en-US" w:eastAsia="en-US" w:bidi="ar-SA"/>
        </w:rPr>
        <w:t xml:space="preserve">: </w:t>
      </w:r>
      <w:r>
        <w:rPr>
          <w:rFonts w:hint="eastAsia" w:ascii="Times New Roman" w:hAnsi="Times New Roman" w:eastAsia="宋体" w:cs="Times New Roman"/>
          <w:b w:val="0"/>
          <w:bCs w:val="0"/>
          <w:i/>
          <w:iCs/>
          <w:sz w:val="20"/>
          <w:szCs w:val="20"/>
          <w:lang w:val="en-US" w:eastAsia="en-US" w:bidi="ar-SA"/>
        </w:rPr>
        <w:t>Define the MDT requirements in RRC_IDLE and RRC_INACTIVE state for Redcap over NTN. The legacy requirement from NTN can be reused.</w:t>
      </w:r>
    </w:p>
    <w:p w14:paraId="49235CA3">
      <w:pPr>
        <w:pageBreakBefore w:val="0"/>
        <w:widowControl/>
        <w:numPr>
          <w:ilvl w:val="1"/>
          <w:numId w:val="6"/>
        </w:numPr>
        <w:kinsoku/>
        <w:wordWrap/>
        <w:topLinePunct w:val="0"/>
        <w:bidi w:val="0"/>
        <w:spacing w:before="60" w:after="60"/>
        <w:ind w:left="1236" w:hanging="360"/>
        <w:contextualSpacing w:val="0"/>
        <w:rPr>
          <w:rFonts w:ascii="Times New Roman" w:hAnsi="Times New Roman" w:eastAsia="宋体" w:cs="Times New Roman"/>
          <w:b w:val="0"/>
          <w:bCs w:val="0"/>
          <w:i/>
          <w:iCs/>
          <w:sz w:val="20"/>
          <w:szCs w:val="20"/>
          <w:lang w:val="en-US" w:eastAsia="en-US" w:bidi="ar-SA"/>
        </w:rPr>
      </w:pPr>
      <w:r>
        <w:rPr>
          <w:rFonts w:ascii="Times New Roman" w:hAnsi="Times New Roman" w:eastAsia="宋体" w:cs="Times New Roman"/>
          <w:b w:val="0"/>
          <w:bCs w:val="0"/>
          <w:i/>
          <w:iCs/>
          <w:sz w:val="20"/>
          <w:szCs w:val="20"/>
          <w:lang w:val="en-US" w:eastAsia="en-US" w:bidi="ar-SA"/>
        </w:rPr>
        <w:tab/>
      </w:r>
      <w:r>
        <w:rPr>
          <w:rFonts w:ascii="Times New Roman" w:hAnsi="Times New Roman" w:eastAsia="宋体" w:cs="Times New Roman"/>
          <w:b w:val="0"/>
          <w:bCs w:val="0"/>
          <w:i/>
          <w:iCs/>
          <w:sz w:val="20"/>
          <w:szCs w:val="20"/>
          <w:lang w:val="en-US" w:eastAsia="en-US" w:bidi="ar-SA"/>
        </w:rPr>
        <w:t>Proposal</w:t>
      </w:r>
      <w:r>
        <w:rPr>
          <w:rFonts w:hint="eastAsia" w:ascii="Times New Roman" w:hAnsi="Times New Roman" w:eastAsia="宋体" w:cs="Times New Roman"/>
          <w:b w:val="0"/>
          <w:bCs w:val="0"/>
          <w:i/>
          <w:iCs/>
          <w:sz w:val="20"/>
          <w:szCs w:val="20"/>
          <w:lang w:val="en-US" w:eastAsia="en-US" w:bidi="ar-SA"/>
        </w:rPr>
        <w:t xml:space="preserve"> 3</w:t>
      </w:r>
      <w:r>
        <w:rPr>
          <w:rFonts w:ascii="Times New Roman" w:hAnsi="Times New Roman" w:eastAsia="宋体" w:cs="Times New Roman"/>
          <w:b w:val="0"/>
          <w:bCs w:val="0"/>
          <w:i/>
          <w:iCs/>
          <w:sz w:val="20"/>
          <w:szCs w:val="20"/>
          <w:lang w:val="en-US" w:eastAsia="en-US" w:bidi="ar-SA"/>
        </w:rPr>
        <w:t>:</w:t>
      </w:r>
      <w:r>
        <w:rPr>
          <w:rFonts w:hint="eastAsia" w:ascii="Times New Roman" w:hAnsi="Times New Roman" w:eastAsia="宋体" w:cs="Times New Roman"/>
          <w:b w:val="0"/>
          <w:bCs w:val="0"/>
          <w:i/>
          <w:iCs/>
          <w:sz w:val="20"/>
          <w:szCs w:val="20"/>
          <w:lang w:val="en-US" w:eastAsia="en-US" w:bidi="ar-SA"/>
        </w:rPr>
        <w:t xml:space="preserve"> </w:t>
      </w:r>
      <w:r>
        <w:rPr>
          <w:rFonts w:ascii="Times New Roman" w:hAnsi="Times New Roman" w:eastAsia="宋体" w:cs="Times New Roman"/>
          <w:b w:val="0"/>
          <w:bCs w:val="0"/>
          <w:i/>
          <w:iCs/>
          <w:sz w:val="20"/>
          <w:szCs w:val="20"/>
          <w:lang w:val="en-US" w:eastAsia="en-US" w:bidi="ar-SA"/>
        </w:rPr>
        <w:t>RAN4 to discuss whether to send LS to RAN2 / RAN3 informing them about the RAN4 agreement on specifying MDT requirements in RRC_IDLE and RRC_INACTIVE for (e)RedCap UE supporting MDT.</w:t>
      </w:r>
    </w:p>
    <w:p w14:paraId="30482A3F">
      <w:pPr>
        <w:pageBreakBefore w:val="0"/>
        <w:widowControl/>
        <w:numPr>
          <w:ilvl w:val="1"/>
          <w:numId w:val="6"/>
        </w:numPr>
        <w:kinsoku/>
        <w:wordWrap/>
        <w:topLinePunct w:val="0"/>
        <w:bidi w:val="0"/>
        <w:spacing w:before="60" w:after="60"/>
        <w:ind w:left="1236" w:hanging="360"/>
        <w:contextualSpacing w:val="0"/>
        <w:rPr>
          <w:rFonts w:ascii="Times New Roman" w:hAnsi="Times New Roman" w:eastAsia="宋体" w:cs="Times New Roman"/>
          <w:b w:val="0"/>
          <w:bCs w:val="0"/>
          <w:i/>
          <w:iCs/>
          <w:sz w:val="20"/>
          <w:szCs w:val="20"/>
          <w:lang w:val="en-US" w:eastAsia="en-US" w:bidi="ar-SA"/>
        </w:rPr>
      </w:pPr>
      <w:r>
        <w:rPr>
          <w:rFonts w:ascii="Times New Roman" w:hAnsi="Times New Roman" w:eastAsia="宋体" w:cs="Times New Roman"/>
          <w:b w:val="0"/>
          <w:bCs w:val="0"/>
          <w:i/>
          <w:iCs/>
          <w:sz w:val="20"/>
          <w:szCs w:val="20"/>
          <w:lang w:val="en-US" w:eastAsia="en-US" w:bidi="ar-SA"/>
        </w:rPr>
        <w:t xml:space="preserve">Proposal </w:t>
      </w:r>
      <w:r>
        <w:rPr>
          <w:rFonts w:hint="eastAsia" w:ascii="Times New Roman" w:hAnsi="Times New Roman" w:eastAsia="宋体" w:cs="Times New Roman"/>
          <w:b w:val="0"/>
          <w:bCs w:val="0"/>
          <w:i/>
          <w:iCs/>
          <w:sz w:val="20"/>
          <w:szCs w:val="20"/>
          <w:lang w:val="en-US" w:eastAsia="en-US" w:bidi="ar-SA"/>
        </w:rPr>
        <w:t>4</w:t>
      </w:r>
      <w:r>
        <w:rPr>
          <w:rFonts w:ascii="Times New Roman" w:hAnsi="Times New Roman" w:eastAsia="宋体" w:cs="Times New Roman"/>
          <w:b w:val="0"/>
          <w:bCs w:val="0"/>
          <w:i/>
          <w:iCs/>
          <w:sz w:val="20"/>
          <w:szCs w:val="20"/>
          <w:lang w:val="en-US" w:eastAsia="en-US" w:bidi="ar-SA"/>
        </w:rPr>
        <w:t xml:space="preserve">: </w:t>
      </w:r>
    </w:p>
    <w:p w14:paraId="290F9947">
      <w:pPr>
        <w:pageBreakBefore w:val="0"/>
        <w:widowControl/>
        <w:numPr>
          <w:ilvl w:val="2"/>
          <w:numId w:val="6"/>
        </w:numPr>
        <w:kinsoku/>
        <w:wordWrap/>
        <w:topLinePunct w:val="0"/>
        <w:bidi w:val="0"/>
        <w:spacing w:before="60" w:after="60"/>
        <w:ind w:left="1956" w:leftChars="0" w:hanging="360" w:firstLineChars="0"/>
        <w:contextualSpacing w:val="0"/>
        <w:rPr>
          <w:rFonts w:ascii="Times New Roman" w:hAnsi="Times New Roman" w:eastAsia="宋体" w:cs="Times New Roman"/>
          <w:b w:val="0"/>
          <w:bCs w:val="0"/>
          <w:i/>
          <w:iCs/>
          <w:sz w:val="20"/>
          <w:szCs w:val="20"/>
          <w:lang w:val="en-US" w:eastAsia="en-US" w:bidi="ar-SA"/>
        </w:rPr>
      </w:pPr>
      <w:r>
        <w:rPr>
          <w:rFonts w:ascii="Times New Roman" w:hAnsi="Times New Roman" w:eastAsia="宋体" w:cs="Times New Roman"/>
          <w:b w:val="0"/>
          <w:bCs w:val="0"/>
          <w:i/>
          <w:iCs/>
          <w:sz w:val="20"/>
          <w:szCs w:val="20"/>
          <w:lang w:val="en-US" w:eastAsia="en-US" w:bidi="ar-SA"/>
        </w:rPr>
        <w:t>RAN4 shall consider the necessity of defining MDT requirements and then decide whether to define relevant MDT requirements.</w:t>
      </w:r>
    </w:p>
    <w:p w14:paraId="2B7D86E4">
      <w:pPr>
        <w:pageBreakBefore w:val="0"/>
        <w:widowControl/>
        <w:numPr>
          <w:ilvl w:val="2"/>
          <w:numId w:val="6"/>
        </w:numPr>
        <w:kinsoku/>
        <w:wordWrap/>
        <w:topLinePunct w:val="0"/>
        <w:bidi w:val="0"/>
        <w:spacing w:before="60" w:after="60"/>
        <w:ind w:left="1956" w:leftChars="0" w:hanging="360" w:firstLineChars="0"/>
        <w:contextualSpacing w:val="0"/>
        <w:rPr>
          <w:rFonts w:ascii="Times New Roman" w:hAnsi="Times New Roman" w:eastAsia="宋体" w:cs="Times New Roman"/>
          <w:b w:val="0"/>
          <w:bCs w:val="0"/>
          <w:i/>
          <w:iCs/>
          <w:sz w:val="20"/>
          <w:szCs w:val="20"/>
          <w:lang w:val="en-US" w:eastAsia="en-US" w:bidi="ar-SA"/>
        </w:rPr>
      </w:pPr>
      <w:r>
        <w:rPr>
          <w:rFonts w:ascii="Times New Roman" w:hAnsi="Times New Roman" w:eastAsia="宋体" w:cs="Times New Roman"/>
          <w:b w:val="0"/>
          <w:bCs w:val="0"/>
          <w:i/>
          <w:iCs/>
          <w:sz w:val="20"/>
          <w:szCs w:val="20"/>
          <w:lang w:val="en-US" w:eastAsia="en-US" w:bidi="ar-SA"/>
        </w:rPr>
        <w:t>For measurement requirements, the legacy measurement requirements shall be reused for 1Rx and 2Rx RedCap UEs in NTN.</w:t>
      </w:r>
    </w:p>
    <w:p w14:paraId="287C8990">
      <w:pPr>
        <w:pageBreakBefore w:val="0"/>
        <w:widowControl/>
        <w:numPr>
          <w:ilvl w:val="2"/>
          <w:numId w:val="6"/>
        </w:numPr>
        <w:kinsoku/>
        <w:wordWrap/>
        <w:topLinePunct w:val="0"/>
        <w:bidi w:val="0"/>
        <w:spacing w:before="60" w:after="60"/>
        <w:ind w:left="1956" w:leftChars="0" w:hanging="360" w:firstLineChars="0"/>
        <w:contextualSpacing w:val="0"/>
        <w:rPr>
          <w:rFonts w:ascii="Times New Roman" w:hAnsi="Times New Roman" w:eastAsia="宋体" w:cs="Times New Roman"/>
          <w:b w:val="0"/>
          <w:bCs w:val="0"/>
          <w:i/>
          <w:iCs/>
          <w:sz w:val="20"/>
          <w:szCs w:val="20"/>
          <w:lang w:val="en-US" w:eastAsia="en-US" w:bidi="ar-SA"/>
        </w:rPr>
      </w:pPr>
      <w:r>
        <w:rPr>
          <w:rFonts w:ascii="Times New Roman" w:hAnsi="Times New Roman" w:eastAsia="宋体" w:cs="Times New Roman"/>
          <w:b w:val="0"/>
          <w:bCs w:val="0"/>
          <w:i/>
          <w:iCs/>
          <w:sz w:val="20"/>
          <w:szCs w:val="20"/>
          <w:lang w:val="en-US" w:eastAsia="en-US" w:bidi="ar-SA"/>
        </w:rPr>
        <w:t>For accuracy relative time stamp requirements, RAN4 shall reuse the same drift of relative time stamp for 1Rx and 2Rx RedCap UEs in NTN.</w:t>
      </w:r>
    </w:p>
    <w:p w14:paraId="184B232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We think it is beneficial for NTN network operation to support MDT capability for Redcap UE over NTN. </w:t>
      </w:r>
    </w:p>
    <w:p w14:paraId="3A05902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Firstly, for NTN network with </w:t>
      </w:r>
      <w:bookmarkStart w:id="9" w:name="OLE_LINK3"/>
      <w:r>
        <w:rPr>
          <w:rFonts w:hint="eastAsia"/>
          <w:kern w:val="2"/>
          <w:sz w:val="20"/>
          <w:szCs w:val="20"/>
          <w:lang w:val="en-US" w:eastAsia="zh-CN"/>
        </w:rPr>
        <w:t>large/moving cell coverage</w:t>
      </w:r>
      <w:bookmarkEnd w:id="9"/>
      <w:r>
        <w:rPr>
          <w:rFonts w:hint="eastAsia"/>
          <w:kern w:val="2"/>
          <w:sz w:val="20"/>
          <w:szCs w:val="20"/>
          <w:lang w:val="en-US" w:eastAsia="zh-CN"/>
        </w:rPr>
        <w:t xml:space="preserve">, it is barely impossible to use the traditional drive test, which requires support from both operation and testing equipment, the difficulty and cost of network optimization will be increased a lot. While MDT could </w:t>
      </w:r>
      <w:r>
        <w:rPr>
          <w:rFonts w:hint="eastAsia"/>
          <w:kern w:val="2"/>
          <w:sz w:val="20"/>
          <w:szCs w:val="20"/>
          <w:lang w:val="en-GB" w:eastAsia="zh-CN"/>
        </w:rPr>
        <w:t>help network to optimize</w:t>
      </w:r>
      <w:r>
        <w:rPr>
          <w:rFonts w:hint="eastAsia"/>
          <w:kern w:val="2"/>
          <w:sz w:val="20"/>
          <w:szCs w:val="20"/>
          <w:lang w:val="en-US" w:eastAsia="zh-CN"/>
        </w:rPr>
        <w:t xml:space="preserve"> the scheduling with low cost</w:t>
      </w:r>
      <w:r>
        <w:rPr>
          <w:rFonts w:hint="eastAsia"/>
          <w:kern w:val="2"/>
          <w:sz w:val="20"/>
          <w:szCs w:val="20"/>
          <w:lang w:val="en-GB" w:eastAsia="zh-CN"/>
        </w:rPr>
        <w:t>.</w:t>
      </w:r>
      <w:r>
        <w:rPr>
          <w:rFonts w:hint="eastAsia"/>
          <w:kern w:val="2"/>
          <w:sz w:val="20"/>
          <w:szCs w:val="20"/>
          <w:lang w:val="en-US" w:eastAsia="zh-CN"/>
        </w:rPr>
        <w:t xml:space="preserve"> </w:t>
      </w:r>
    </w:p>
    <w:p w14:paraId="5A0FC7C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lang w:val="en-US" w:eastAsia="zh-CN"/>
        </w:rPr>
      </w:pPr>
      <w:r>
        <w:rPr>
          <w:rFonts w:hint="eastAsia"/>
          <w:kern w:val="2"/>
          <w:sz w:val="20"/>
          <w:szCs w:val="20"/>
          <w:lang w:val="en-US" w:eastAsia="zh-CN"/>
        </w:rPr>
        <w:t>Secondly, for large cell coverage, especially for lonely area, it is hard to assume that network can acquire MDT report from handheld UE, the Redcap UE can serve as supplement in this case.</w:t>
      </w:r>
    </w:p>
    <w:p w14:paraId="36B1157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Thirdly, the link performance seen between handheld UE and Redcap UE may be different, especially for 1Rx Redcap and HD-FDD Redcap. Therefore, although NTN network can get MDT report from handheld UE, the MDT report from Redcap UE still can provide more information to network. </w:t>
      </w:r>
    </w:p>
    <w:p w14:paraId="655F57B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lang w:val="en-US" w:eastAsia="zh-CN"/>
        </w:rPr>
      </w:pPr>
      <w:r>
        <w:rPr>
          <w:rFonts w:hint="eastAsia"/>
          <w:kern w:val="2"/>
          <w:sz w:val="20"/>
          <w:szCs w:val="20"/>
          <w:lang w:val="en-US" w:eastAsia="zh-CN"/>
        </w:rPr>
        <w:t>Lastly, we understand there is power consumption concern for Redcap UE. However, considering it is up to UE whether to support this capability or not, and UE who support this feature will stop the memory when the cached data over the threshold, and MDT will be started only after receiving the network configuration, we think all these approach can guarantee that the feature will be applied for UE without power consumption issue and only when necessary from network side.</w:t>
      </w:r>
    </w:p>
    <w:p w14:paraId="0B91937B">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等线"/>
          <w:b/>
          <w:bCs/>
          <w:i/>
          <w:iCs/>
          <w:sz w:val="20"/>
          <w:szCs w:val="20"/>
          <w:lang w:val="en-US" w:eastAsia="zh-CN"/>
        </w:rPr>
      </w:pPr>
      <w:bookmarkStart w:id="10" w:name="OLE_LINK4"/>
      <w:r>
        <w:rPr>
          <w:rFonts w:eastAsia="等线"/>
          <w:b/>
          <w:bCs/>
          <w:i/>
          <w:iCs/>
          <w:sz w:val="20"/>
          <w:szCs w:val="20"/>
        </w:rPr>
        <w:t xml:space="preserve">Proposal </w:t>
      </w:r>
      <w:r>
        <w:rPr>
          <w:rFonts w:hint="eastAsia" w:eastAsia="等线"/>
          <w:b/>
          <w:bCs/>
          <w:i/>
          <w:iCs/>
          <w:sz w:val="20"/>
          <w:szCs w:val="20"/>
          <w:lang w:val="en-US" w:eastAsia="zh-CN"/>
        </w:rPr>
        <w:t>1</w:t>
      </w:r>
      <w:r>
        <w:rPr>
          <w:rFonts w:eastAsia="等线"/>
          <w:b/>
          <w:bCs/>
          <w:i/>
          <w:iCs/>
          <w:sz w:val="20"/>
          <w:szCs w:val="20"/>
        </w:rPr>
        <w:t xml:space="preserve">: </w:t>
      </w:r>
      <w:r>
        <w:rPr>
          <w:rFonts w:hint="eastAsia" w:eastAsia="等线"/>
          <w:b/>
          <w:bCs/>
          <w:i/>
          <w:iCs/>
          <w:sz w:val="20"/>
          <w:szCs w:val="20"/>
          <w:lang w:val="en-US" w:eastAsia="zh-CN"/>
        </w:rPr>
        <w:t>Define the MDT requirements i</w:t>
      </w:r>
      <w:r>
        <w:rPr>
          <w:rFonts w:hint="eastAsia"/>
          <w:b/>
          <w:bCs/>
          <w:i/>
          <w:iCs/>
          <w:sz w:val="20"/>
          <w:szCs w:val="20"/>
          <w:lang w:val="en-US" w:eastAsia="zh-CN"/>
        </w:rPr>
        <w:t xml:space="preserve">n RRC_IDLE and RRC_INACTIVE state </w:t>
      </w:r>
      <w:r>
        <w:rPr>
          <w:rFonts w:hint="eastAsia" w:eastAsia="等线"/>
          <w:b/>
          <w:bCs/>
          <w:i/>
          <w:iCs/>
          <w:sz w:val="20"/>
          <w:szCs w:val="20"/>
          <w:lang w:val="en-US" w:eastAsia="zh-CN"/>
        </w:rPr>
        <w:t>for Redcap over NTN. The legacy requirement from NTN can be reused.</w:t>
      </w:r>
    </w:p>
    <w:p w14:paraId="13E9D41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Regarding the MDT requirement, for both 1Rx and 2Rx Redcap UE, the legacy NTN MDT requirements can be reused, including the measurement requirements and accuracy relative time stamp requirements.</w:t>
      </w:r>
    </w:p>
    <w:p w14:paraId="235A3FA9">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lang w:val="en-US" w:eastAsia="zh-CN"/>
        </w:rPr>
        <w:t>Reuse legacy NTN MDT requirements for Redcap UE over NTN, including measurement requirements and relative time stamp requirements.</w:t>
      </w:r>
    </w:p>
    <w:p w14:paraId="46EC851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宋体" w:cs="Times New Roman"/>
          <w:b w:val="0"/>
          <w:bCs w:val="0"/>
          <w:i w:val="0"/>
          <w:iCs w:val="0"/>
          <w:sz w:val="20"/>
          <w:szCs w:val="20"/>
          <w:u w:val="none"/>
          <w:lang w:val="en-US" w:eastAsia="zh-CN" w:bidi="ar-SA"/>
        </w:rPr>
      </w:pPr>
      <w:r>
        <w:rPr>
          <w:rFonts w:hint="eastAsia"/>
          <w:b w:val="0"/>
          <w:bCs w:val="0"/>
          <w:i w:val="0"/>
          <w:iCs w:val="0"/>
          <w:kern w:val="2"/>
          <w:sz w:val="20"/>
          <w:szCs w:val="20"/>
          <w:u w:val="none"/>
          <w:lang w:val="en-US" w:eastAsia="zh-CN"/>
        </w:rPr>
        <w:t xml:space="preserve">In last meeting, company suggest that </w:t>
      </w:r>
      <w:r>
        <w:rPr>
          <w:rFonts w:ascii="Times New Roman" w:hAnsi="Times New Roman" w:eastAsia="宋体" w:cs="Times New Roman"/>
          <w:b w:val="0"/>
          <w:bCs w:val="0"/>
          <w:i w:val="0"/>
          <w:iCs w:val="0"/>
          <w:sz w:val="20"/>
          <w:szCs w:val="20"/>
          <w:u w:val="none"/>
          <w:lang w:val="en-US" w:eastAsia="en-US" w:bidi="ar-SA"/>
        </w:rPr>
        <w:t>RAN4 to discuss whether to send LS to RAN2 / RAN3 informing them about the RAN4 agreement on specifying MDT requirements in RRC_IDLE and RRC_INACTIVE for (e)RedCap UE supporting MDT.</w:t>
      </w:r>
      <w:r>
        <w:rPr>
          <w:rFonts w:hint="eastAsia" w:eastAsia="宋体" w:cs="Times New Roman"/>
          <w:b w:val="0"/>
          <w:bCs w:val="0"/>
          <w:i w:val="0"/>
          <w:iCs w:val="0"/>
          <w:sz w:val="20"/>
          <w:szCs w:val="20"/>
          <w:u w:val="none"/>
          <w:lang w:val="en-US" w:eastAsia="zh-CN" w:bidi="ar-SA"/>
        </w:rPr>
        <w:t xml:space="preserve"> In our understanding, no new signaling and UE capability are needed for </w:t>
      </w:r>
      <w:r>
        <w:rPr>
          <w:rFonts w:ascii="Times New Roman" w:hAnsi="Times New Roman" w:eastAsia="宋体" w:cs="Times New Roman"/>
          <w:b w:val="0"/>
          <w:bCs w:val="0"/>
          <w:i w:val="0"/>
          <w:iCs w:val="0"/>
          <w:sz w:val="20"/>
          <w:szCs w:val="20"/>
          <w:u w:val="none"/>
          <w:lang w:val="en-US" w:eastAsia="en-US" w:bidi="ar-SA"/>
        </w:rPr>
        <w:t>(e)RedCap UE supporting MDT</w:t>
      </w:r>
      <w:r>
        <w:rPr>
          <w:rFonts w:hint="eastAsia" w:eastAsia="宋体" w:cs="Times New Roman"/>
          <w:b w:val="0"/>
          <w:bCs w:val="0"/>
          <w:i w:val="0"/>
          <w:iCs w:val="0"/>
          <w:sz w:val="20"/>
          <w:szCs w:val="20"/>
          <w:u w:val="none"/>
          <w:lang w:val="en-US" w:eastAsia="zh-CN" w:bidi="ar-SA"/>
        </w:rPr>
        <w:t>, no RAN2/RAN3 work is actually involved. Therefore, no need to send LS to RAN2/RAN3.</w:t>
      </w:r>
    </w:p>
    <w:p w14:paraId="0BA21D52">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No need to send LS to RAN2 / RAN3 informing them about the RAN4 agreement on specifying MDT requirements in RRC_IDLE and RRC_INACTIVE for (e)RedCap UE supporting MDT.</w:t>
      </w:r>
    </w:p>
    <w:p w14:paraId="33A1D809">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等线"/>
          <w:b/>
          <w:bCs/>
          <w:i/>
          <w:iCs/>
          <w:sz w:val="20"/>
          <w:szCs w:val="20"/>
          <w:lang w:val="en-US" w:eastAsia="zh-CN"/>
        </w:rPr>
      </w:pPr>
    </w:p>
    <w:bookmarkEnd w:id="10"/>
    <w:p w14:paraId="6DA872E9">
      <w:pPr>
        <w:pStyle w:val="3"/>
        <w:numPr>
          <w:ilvl w:val="1"/>
          <w:numId w:val="5"/>
        </w:numPr>
        <w:pBdr>
          <w:top w:val="none" w:color="auto" w:sz="0" w:space="3"/>
          <w:left w:val="none" w:color="auto" w:sz="0" w:space="0"/>
          <w:bottom w:val="none" w:color="auto" w:sz="0" w:space="0"/>
          <w:right w:val="none" w:color="auto" w:sz="0" w:space="0"/>
          <w:between w:val="none" w:color="auto" w:sz="0" w:space="0"/>
        </w:pBdr>
        <w:tabs>
          <w:tab w:val="clear" w:pos="576"/>
        </w:tabs>
        <w:spacing w:before="120" w:after="60" w:line="240" w:lineRule="auto"/>
        <w:ind w:left="567" w:leftChars="0" w:hanging="567" w:firstLineChars="0"/>
        <w:outlineLvl w:val="1"/>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SMTCs and 'in parallel' related features</w:t>
      </w:r>
    </w:p>
    <w:p w14:paraId="410640C0">
      <w:pPr>
        <w:pStyle w:val="6"/>
        <w:spacing w:after="0"/>
        <w:rPr>
          <w:rFonts w:hint="eastAsia" w:ascii="Times New Roman" w:hAnsi="Times New Roman" w:cs="Times New Roman" w:eastAsiaTheme="minorEastAsia"/>
          <w:b/>
          <w:i/>
          <w:iCs/>
          <w:sz w:val="20"/>
          <w:szCs w:val="20"/>
          <w:highlight w:val="none"/>
          <w:u w:val="single"/>
          <w:lang w:val="en-US" w:eastAsia="en-US" w:bidi="ar-SA"/>
        </w:rPr>
      </w:pPr>
      <w:r>
        <w:rPr>
          <w:rFonts w:hint="eastAsia" w:ascii="Times New Roman" w:hAnsi="Times New Roman" w:cs="Times New Roman" w:eastAsiaTheme="minorEastAsia"/>
          <w:b/>
          <w:i/>
          <w:iCs/>
          <w:sz w:val="20"/>
          <w:szCs w:val="20"/>
          <w:highlight w:val="none"/>
          <w:u w:val="single"/>
          <w:lang w:val="en-US" w:eastAsia="ko-KR" w:bidi="ar-SA"/>
        </w:rPr>
        <w:t xml:space="preserve">Issue </w:t>
      </w:r>
      <w:r>
        <w:rPr>
          <w:rFonts w:hint="eastAsia" w:ascii="Times New Roman" w:hAnsi="Times New Roman" w:cs="Times New Roman" w:eastAsiaTheme="minorEastAsia"/>
          <w:b/>
          <w:i/>
          <w:iCs/>
          <w:sz w:val="20"/>
          <w:szCs w:val="20"/>
          <w:highlight w:val="none"/>
          <w:u w:val="single"/>
          <w:lang w:val="en-US" w:eastAsia="en-US" w:bidi="ar-SA"/>
        </w:rPr>
        <w:t>1</w:t>
      </w:r>
      <w:r>
        <w:rPr>
          <w:rFonts w:hint="eastAsia" w:ascii="Times New Roman" w:hAnsi="Times New Roman" w:cs="Times New Roman" w:eastAsiaTheme="minorEastAsia"/>
          <w:b/>
          <w:i/>
          <w:iCs/>
          <w:sz w:val="20"/>
          <w:szCs w:val="20"/>
          <w:highlight w:val="none"/>
          <w:u w:val="single"/>
          <w:lang w:val="en-US" w:eastAsia="ko-KR" w:bidi="ar-SA"/>
        </w:rPr>
        <w:t>-</w:t>
      </w:r>
      <w:r>
        <w:rPr>
          <w:rFonts w:hint="eastAsia" w:ascii="Times New Roman" w:hAnsi="Times New Roman" w:cs="Times New Roman" w:eastAsiaTheme="minorEastAsia"/>
          <w:b/>
          <w:i/>
          <w:iCs/>
          <w:sz w:val="20"/>
          <w:szCs w:val="20"/>
          <w:highlight w:val="none"/>
          <w:u w:val="single"/>
          <w:lang w:val="en-US" w:eastAsia="en-US" w:bidi="ar-SA"/>
        </w:rPr>
        <w:t>2</w:t>
      </w:r>
      <w:r>
        <w:rPr>
          <w:rFonts w:hint="eastAsia" w:ascii="Times New Roman" w:hAnsi="Times New Roman" w:cs="Times New Roman" w:eastAsiaTheme="minorEastAsia"/>
          <w:b/>
          <w:i/>
          <w:iCs/>
          <w:sz w:val="20"/>
          <w:szCs w:val="20"/>
          <w:highlight w:val="none"/>
          <w:u w:val="single"/>
          <w:lang w:val="en-US" w:eastAsia="ko-KR" w:bidi="ar-SA"/>
        </w:rPr>
        <w:t>-</w:t>
      </w:r>
      <w:r>
        <w:rPr>
          <w:rFonts w:hint="eastAsia" w:ascii="Times New Roman" w:hAnsi="Times New Roman" w:cs="Times New Roman" w:eastAsiaTheme="minorEastAsia"/>
          <w:b/>
          <w:i/>
          <w:iCs/>
          <w:sz w:val="20"/>
          <w:szCs w:val="20"/>
          <w:highlight w:val="none"/>
          <w:u w:val="single"/>
          <w:lang w:val="en-US" w:eastAsia="en-US" w:bidi="ar-SA"/>
        </w:rPr>
        <w:t>2</w:t>
      </w:r>
      <w:r>
        <w:rPr>
          <w:rFonts w:hint="eastAsia" w:ascii="Times New Roman" w:hAnsi="Times New Roman" w:cs="Times New Roman" w:eastAsiaTheme="minorEastAsia"/>
          <w:b/>
          <w:i/>
          <w:iCs/>
          <w:sz w:val="20"/>
          <w:szCs w:val="20"/>
          <w:highlight w:val="none"/>
          <w:u w:val="single"/>
          <w:lang w:val="en-US" w:eastAsia="ko-KR" w:bidi="ar-SA"/>
        </w:rPr>
        <w:t>: SMTC adjustment in idle/inactive</w:t>
      </w:r>
    </w:p>
    <w:p w14:paraId="2153E024">
      <w:pPr>
        <w:keepNext w:val="0"/>
        <w:keepLines w:val="0"/>
        <w:pageBreakBefore w:val="0"/>
        <w:widowControl/>
        <w:kinsoku/>
        <w:wordWrap/>
        <w:overflowPunct/>
        <w:topLinePunct w:val="0"/>
        <w:autoSpaceDE/>
        <w:autoSpaceDN/>
        <w:bidi w:val="0"/>
        <w:adjustRightInd/>
        <w:spacing w:before="60" w:after="60"/>
        <w:textAlignment w:val="auto"/>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en-US"/>
        </w:rPr>
        <w:t>&lt;Way Forward&gt;</w:t>
      </w:r>
      <w:r>
        <w:rPr>
          <w:rFonts w:hint="eastAsia"/>
          <w:b/>
          <w:bCs w:val="0"/>
          <w:i/>
          <w:iCs/>
          <w:sz w:val="20"/>
          <w:szCs w:val="20"/>
          <w:highlight w:val="none"/>
          <w:u w:val="none"/>
          <w:lang w:val="en-US" w:eastAsia="zh-CN"/>
        </w:rPr>
        <w:t>:</w:t>
      </w:r>
    </w:p>
    <w:p w14:paraId="4D8F5C28">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 xml:space="preserve">Proposal 1: </w:t>
      </w:r>
      <w:bookmarkStart w:id="11" w:name="OLE_LINK6"/>
      <w:r>
        <w:rPr>
          <w:rFonts w:hint="eastAsia" w:ascii="Times New Roman" w:hAnsi="Times New Roman" w:eastAsia="宋体" w:cs="Times New Roman"/>
          <w:i/>
          <w:iCs/>
          <w:sz w:val="20"/>
          <w:szCs w:val="20"/>
          <w:lang w:val="en-US" w:eastAsia="en-US" w:bidi="ar-SA"/>
        </w:rPr>
        <w:t>SMTC adjustment in idle/inactive</w:t>
      </w:r>
      <w:bookmarkEnd w:id="11"/>
      <w:r>
        <w:rPr>
          <w:rFonts w:hint="eastAsia" w:ascii="Times New Roman" w:hAnsi="Times New Roman" w:eastAsia="宋体" w:cs="Times New Roman"/>
          <w:i/>
          <w:iCs/>
          <w:sz w:val="20"/>
          <w:szCs w:val="20"/>
          <w:lang w:val="en-US" w:eastAsia="en-US" w:bidi="ar-SA"/>
        </w:rPr>
        <w:t xml:space="preserve"> is kept mandatory for (e)RedCap UEs with NTN.</w:t>
      </w:r>
    </w:p>
    <w:p w14:paraId="41583AF1">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Proposal 2: RAN4 will not make any modifications on the feature of SMTC adjustment in idle/inactive for RedCap UE with NTN.</w:t>
      </w:r>
    </w:p>
    <w:p w14:paraId="0C504AD5">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Proposal 2a: Maintain the same principle used in NR NTN for RedCap devices: the requirements are transparent to whether the UE adjusts or not the SMTC window in IDLE/INACTIVE mode.</w:t>
      </w:r>
    </w:p>
    <w:p w14:paraId="73891207">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en-US" w:bidi="ar-SA"/>
        </w:rPr>
      </w:pPr>
      <w:r>
        <w:rPr>
          <w:rFonts w:hint="eastAsia" w:ascii="Times New Roman" w:hAnsi="Times New Roman" w:eastAsia="宋体" w:cs="Times New Roman"/>
          <w:i/>
          <w:iCs/>
          <w:sz w:val="20"/>
          <w:szCs w:val="20"/>
          <w:lang w:val="en-US" w:eastAsia="en-US" w:bidi="ar-SA"/>
        </w:rPr>
        <w:t>Proposal 3: For SMTC adjustment in idle/inactive, we recommend keeping it optional, yet we would support defining it as mandatory if companies have strong concern on this.</w:t>
      </w:r>
    </w:p>
    <w:p w14:paraId="38E0DF1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b w:val="0"/>
          <w:bCs w:val="0"/>
          <w:i w:val="0"/>
          <w:iCs w:val="0"/>
          <w:kern w:val="2"/>
          <w:sz w:val="20"/>
          <w:szCs w:val="20"/>
          <w:u w:val="none"/>
          <w:lang w:val="en-US" w:eastAsia="zh-CN"/>
        </w:rPr>
      </w:pPr>
      <w:r>
        <w:rPr>
          <w:rFonts w:hint="eastAsia"/>
          <w:b w:val="0"/>
          <w:bCs w:val="0"/>
          <w:i w:val="0"/>
          <w:iCs w:val="0"/>
          <w:kern w:val="2"/>
          <w:sz w:val="20"/>
          <w:szCs w:val="20"/>
          <w:u w:val="none"/>
          <w:lang w:val="en-US" w:eastAsia="zh-CN"/>
        </w:rPr>
        <w:t>Our original view is to maintain the same principle used in NR NTN, the controversial part is whether the SMTC adjustment in IDLE/Inactive is a mandatory or optional feature. However, considering the feature is introduced by RAN2, and whether it is mandatory or optional have no impact on RAN4 requirement, we agree with proposal 2, that for the SMTC adjustment in IDLE/Inactive capability, (e)RedCap UEs with NTN maintain the same principle used in NR NTN.</w:t>
      </w:r>
    </w:p>
    <w:p w14:paraId="0A236F0C">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4</w:t>
      </w:r>
      <w:r>
        <w:rPr>
          <w:rFonts w:eastAsia="等线"/>
          <w:b/>
          <w:bCs/>
          <w:i/>
          <w:iCs/>
          <w:sz w:val="20"/>
          <w:szCs w:val="20"/>
        </w:rPr>
        <w:t xml:space="preserve">: </w:t>
      </w:r>
      <w:r>
        <w:rPr>
          <w:rFonts w:hint="eastAsia" w:eastAsia="等线"/>
          <w:b/>
          <w:bCs/>
          <w:i/>
          <w:iCs/>
          <w:sz w:val="20"/>
          <w:szCs w:val="20"/>
          <w:lang w:val="en-US" w:eastAsia="zh-CN"/>
        </w:rPr>
        <w:t>For the SMTC adjustment in IDLE/Inactive capability, (e)RedCap UEs with NTN maintain the same principle used in NR NTN.</w:t>
      </w:r>
    </w:p>
    <w:p w14:paraId="3CF19D78">
      <w:pPr>
        <w:pStyle w:val="6"/>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cs="Times New Roman"/>
          <w:b/>
          <w:i/>
          <w:iCs/>
          <w:sz w:val="20"/>
          <w:szCs w:val="20"/>
          <w:highlight w:val="none"/>
          <w:u w:val="single"/>
          <w:lang w:val="en-US" w:eastAsia="zh-CN" w:bidi="ar-SA"/>
        </w:rPr>
      </w:pPr>
    </w:p>
    <w:p w14:paraId="11E8A0CD">
      <w:pPr>
        <w:pStyle w:val="2"/>
        <w:numPr>
          <w:ilvl w:val="0"/>
          <w:numId w:val="5"/>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The impact of HD-FDD</w:t>
      </w:r>
    </w:p>
    <w:p w14:paraId="465AE3EA">
      <w:pPr>
        <w:pStyle w:val="6"/>
        <w:spacing w:after="0"/>
        <w:rPr>
          <w:rFonts w:hint="eastAsia" w:ascii="Times New Roman" w:hAnsi="Times New Roman" w:cs="Times New Roman" w:eastAsiaTheme="minorEastAsia"/>
          <w:b/>
          <w:i/>
          <w:iCs/>
          <w:sz w:val="20"/>
          <w:szCs w:val="20"/>
          <w:highlight w:val="none"/>
          <w:u w:val="single"/>
          <w:lang w:val="en-US" w:eastAsia="zh-CN" w:bidi="ar-SA"/>
        </w:rPr>
      </w:pPr>
      <w:r>
        <w:rPr>
          <w:rFonts w:hint="eastAsia" w:ascii="Times New Roman" w:hAnsi="Times New Roman" w:cs="Times New Roman" w:eastAsiaTheme="minorEastAsia"/>
          <w:b/>
          <w:i/>
          <w:iCs/>
          <w:sz w:val="20"/>
          <w:szCs w:val="20"/>
          <w:highlight w:val="none"/>
          <w:u w:val="single"/>
          <w:lang w:val="en-US" w:eastAsia="ko-KR" w:bidi="ar-SA"/>
        </w:rPr>
        <w:t>Issue 1-3-5: The impact on NR Handover due to HD-FDD</w:t>
      </w:r>
    </w:p>
    <w:p w14:paraId="49887AAB">
      <w:pPr>
        <w:keepNext w:val="0"/>
        <w:keepLines w:val="0"/>
        <w:pageBreakBefore w:val="0"/>
        <w:widowControl/>
        <w:kinsoku/>
        <w:wordWrap/>
        <w:overflowPunct/>
        <w:topLinePunct w:val="0"/>
        <w:autoSpaceDE/>
        <w:autoSpaceDN/>
        <w:bidi w:val="0"/>
        <w:adjustRightInd/>
        <w:spacing w:before="60" w:after="60"/>
        <w:textAlignment w:val="auto"/>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zh-CN"/>
        </w:rPr>
        <w:t>&lt;Way Forward&gt;:</w:t>
      </w:r>
    </w:p>
    <w:p w14:paraId="3D85D7C6">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Proposal 1: For the impact on NR handover for HD-FDD, the principle in option 1 is accepted. </w:t>
      </w:r>
    </w:p>
    <w:p w14:paraId="290F86E8">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1a: Regarding Issue 3-2-1 (The impact on NR Handover due to HD-FDD), adopt Option 1 with 'availability' defined as 'no collision with UL transmission at the UE'.</w:t>
      </w:r>
    </w:p>
    <w:p w14:paraId="24AAA58B">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Proposal 2: Adopt option 2 (no spec impact) for HO, CHO and satellite switch for HD-FDD UE.</w:t>
      </w:r>
    </w:p>
    <w:p w14:paraId="633B1D75">
      <w:pPr>
        <w:keepNext w:val="0"/>
        <w:keepLines w:val="0"/>
        <w:pageBreakBefore w:val="0"/>
        <w:widowControl w:val="0"/>
        <w:kinsoku/>
        <w:wordWrap/>
        <w:overflowPunct/>
        <w:topLinePunct w:val="0"/>
        <w:autoSpaceDE/>
        <w:autoSpaceDN/>
        <w:bidi w:val="0"/>
        <w:adjustRightInd/>
        <w:snapToGrid/>
        <w:spacing w:before="60" w:after="60"/>
        <w:jc w:val="both"/>
        <w:textAlignment w:val="auto"/>
        <w:rPr>
          <w:rFonts w:ascii="Times New Roman" w:hAnsi="Times New Roman" w:eastAsia="等线" w:cs="Times New Roman"/>
          <w:i/>
          <w:iCs/>
          <w:color w:val="auto"/>
          <w:kern w:val="2"/>
          <w:sz w:val="21"/>
          <w:szCs w:val="21"/>
        </w:rPr>
      </w:pPr>
      <w:r>
        <w:rPr>
          <w:rFonts w:ascii="Times New Roman" w:hAnsi="Times New Roman" w:eastAsia="等线" w:cs="Times New Roman"/>
          <w:i/>
          <w:iCs/>
          <w:color w:val="auto"/>
          <w:kern w:val="2"/>
          <w:sz w:val="21"/>
          <w:szCs w:val="21"/>
          <w:highlight w:val="green"/>
        </w:rPr>
        <w:t>Agreement</w:t>
      </w:r>
      <w:r>
        <w:rPr>
          <w:rFonts w:hint="eastAsia" w:eastAsia="等线" w:cs="Times New Roman"/>
          <w:i/>
          <w:iCs/>
          <w:color w:val="auto"/>
          <w:kern w:val="2"/>
          <w:sz w:val="21"/>
          <w:szCs w:val="21"/>
          <w:highlight w:val="green"/>
          <w:lang w:val="en-US" w:eastAsia="zh-CN"/>
        </w:rPr>
        <w:t xml:space="preserve"> from RAN4#114bis</w:t>
      </w:r>
      <w:r>
        <w:rPr>
          <w:rFonts w:ascii="Times New Roman" w:hAnsi="Times New Roman" w:eastAsia="等线" w:cs="Times New Roman"/>
          <w:i/>
          <w:iCs/>
          <w:color w:val="auto"/>
          <w:kern w:val="2"/>
          <w:sz w:val="21"/>
          <w:szCs w:val="21"/>
          <w:highlight w:val="green"/>
        </w:rPr>
        <w:t>:</w:t>
      </w:r>
    </w:p>
    <w:p w14:paraId="6DE5F2FC">
      <w:pPr>
        <w:keepNext w:val="0"/>
        <w:keepLines w:val="0"/>
        <w:pageBreakBefore w:val="0"/>
        <w:widowControl w:val="0"/>
        <w:numPr>
          <w:ilvl w:val="0"/>
          <w:numId w:val="6"/>
        </w:numPr>
        <w:kinsoku/>
        <w:wordWrap/>
        <w:overflowPunct/>
        <w:topLinePunct w:val="0"/>
        <w:autoSpaceDE/>
        <w:autoSpaceDN/>
        <w:bidi w:val="0"/>
        <w:adjustRightInd/>
        <w:snapToGrid/>
        <w:spacing w:before="60" w:after="60"/>
        <w:ind w:left="720"/>
        <w:jc w:val="both"/>
        <w:textAlignment w:val="auto"/>
        <w:rPr>
          <w:rFonts w:ascii="Times New Roman" w:hAnsi="Times New Roman" w:eastAsia="等线" w:cs="Times New Roman"/>
          <w:i/>
          <w:iCs/>
          <w:color w:val="auto"/>
          <w:sz w:val="20"/>
          <w:szCs w:val="21"/>
          <w:lang w:val="en-GB" w:eastAsia="en-US"/>
        </w:rPr>
      </w:pPr>
      <w:r>
        <w:rPr>
          <w:rFonts w:ascii="Times New Roman" w:hAnsi="Times New Roman" w:eastAsia="等线" w:cs="Times New Roman"/>
          <w:i/>
          <w:iCs/>
          <w:color w:val="auto"/>
          <w:sz w:val="20"/>
          <w:szCs w:val="21"/>
          <w:lang w:val="en-GB" w:eastAsia="en-US"/>
        </w:rPr>
        <w:t>Option 1: agree on the principle below and further discuss the wording in the CR:</w:t>
      </w:r>
    </w:p>
    <w:p w14:paraId="29A79373">
      <w:pPr>
        <w:keepNext w:val="0"/>
        <w:keepLines w:val="0"/>
        <w:pageBreakBefore w:val="0"/>
        <w:widowControl w:val="0"/>
        <w:numPr>
          <w:ilvl w:val="2"/>
          <w:numId w:val="6"/>
        </w:numPr>
        <w:kinsoku/>
        <w:wordWrap/>
        <w:overflowPunct/>
        <w:topLinePunct w:val="0"/>
        <w:autoSpaceDE/>
        <w:autoSpaceDN/>
        <w:bidi w:val="0"/>
        <w:adjustRightInd/>
        <w:snapToGrid/>
        <w:spacing w:before="60" w:after="60"/>
        <w:ind w:left="1637" w:hanging="357"/>
        <w:jc w:val="both"/>
        <w:textAlignment w:val="auto"/>
        <w:rPr>
          <w:rFonts w:ascii="Times New Roman" w:hAnsi="Times New Roman" w:eastAsia="MS Mincho" w:cs="Times New Roman"/>
          <w:i/>
          <w:iCs/>
          <w:color w:val="auto"/>
          <w:sz w:val="20"/>
          <w:szCs w:val="21"/>
          <w:lang w:val="en-GB" w:eastAsia="en-US"/>
        </w:rPr>
      </w:pPr>
      <w:r>
        <w:rPr>
          <w:rFonts w:ascii="Times New Roman" w:hAnsi="Times New Roman" w:eastAsia="MS Mincho" w:cs="Times New Roman"/>
          <w:i/>
          <w:iCs/>
          <w:color w:val="auto"/>
          <w:sz w:val="20"/>
          <w:szCs w:val="21"/>
          <w:lang w:val="en-GB" w:eastAsia="en-US"/>
        </w:rPr>
        <w:t>For RACH-based HO, RACH-less HO, Time/location-based CHO without L3 measurement and Satellite switching with re-synchronization, following applicability rules to adapt HD-FDD case should be added:</w:t>
      </w:r>
    </w:p>
    <w:p w14:paraId="1CD07DD1">
      <w:pPr>
        <w:keepNext w:val="0"/>
        <w:keepLines w:val="0"/>
        <w:pageBreakBefore w:val="0"/>
        <w:widowControl w:val="0"/>
        <w:numPr>
          <w:ilvl w:val="3"/>
          <w:numId w:val="6"/>
        </w:numPr>
        <w:kinsoku/>
        <w:wordWrap/>
        <w:overflowPunct/>
        <w:topLinePunct w:val="0"/>
        <w:autoSpaceDE/>
        <w:autoSpaceDN/>
        <w:bidi w:val="0"/>
        <w:adjustRightInd/>
        <w:snapToGrid/>
        <w:spacing w:before="60" w:after="60"/>
        <w:jc w:val="both"/>
        <w:textAlignment w:val="auto"/>
        <w:rPr>
          <w:rFonts w:ascii="Times New Roman" w:hAnsi="Times New Roman" w:eastAsia="MS Mincho" w:cs="Times New Roman"/>
          <w:i/>
          <w:iCs/>
          <w:color w:val="auto"/>
          <w:sz w:val="20"/>
          <w:szCs w:val="21"/>
          <w:lang w:val="en-GB" w:eastAsia="en-US"/>
        </w:rPr>
      </w:pPr>
      <w:r>
        <w:rPr>
          <w:rFonts w:ascii="Times New Roman" w:hAnsi="Times New Roman" w:eastAsia="MS Mincho" w:cs="Times New Roman"/>
          <w:i/>
          <w:iCs/>
          <w:color w:val="auto"/>
          <w:sz w:val="20"/>
          <w:szCs w:val="21"/>
          <w:lang w:val="en-GB" w:eastAsia="en-US"/>
        </w:rPr>
        <w:t xml:space="preserve">For RedCap NTN UE with HD-FDD, the requirements are met provided that </w:t>
      </w:r>
    </w:p>
    <w:p w14:paraId="05778901">
      <w:pPr>
        <w:keepNext w:val="0"/>
        <w:keepLines w:val="0"/>
        <w:pageBreakBefore w:val="0"/>
        <w:widowControl w:val="0"/>
        <w:numPr>
          <w:ilvl w:val="0"/>
          <w:numId w:val="7"/>
        </w:numPr>
        <w:kinsoku/>
        <w:wordWrap/>
        <w:overflowPunct/>
        <w:topLinePunct w:val="0"/>
        <w:autoSpaceDE/>
        <w:autoSpaceDN/>
        <w:bidi w:val="0"/>
        <w:adjustRightInd/>
        <w:snapToGrid/>
        <w:spacing w:before="60" w:after="60"/>
        <w:jc w:val="both"/>
        <w:textAlignment w:val="auto"/>
        <w:rPr>
          <w:rFonts w:ascii="Times New Roman" w:hAnsi="Times New Roman" w:eastAsia="MS Mincho" w:cs="Times New Roman"/>
          <w:bCs/>
          <w:i/>
          <w:iCs/>
          <w:color w:val="auto"/>
          <w:sz w:val="20"/>
          <w:szCs w:val="21"/>
          <w:lang w:val="en-GB" w:eastAsia="en-US"/>
        </w:rPr>
      </w:pPr>
      <w:r>
        <w:rPr>
          <w:rFonts w:ascii="Times New Roman" w:hAnsi="Times New Roman" w:eastAsia="MS Mincho" w:cs="Times New Roman"/>
          <w:bCs/>
          <w:i/>
          <w:iCs/>
          <w:color w:val="auto"/>
          <w:sz w:val="20"/>
          <w:szCs w:val="21"/>
          <w:lang w:val="en-GB" w:eastAsia="en-US"/>
        </w:rPr>
        <w:t>SSB is available at the UE once every SMTC period during T</w:t>
      </w:r>
      <w:r>
        <w:rPr>
          <w:rFonts w:ascii="Times New Roman" w:hAnsi="Times New Roman" w:eastAsia="MS Mincho" w:cs="Times New Roman"/>
          <w:bCs/>
          <w:i/>
          <w:iCs/>
          <w:color w:val="auto"/>
          <w:sz w:val="20"/>
          <w:szCs w:val="21"/>
          <w:vertAlign w:val="subscript"/>
          <w:lang w:val="en-GB" w:eastAsia="en-US"/>
        </w:rPr>
        <w:t>search</w:t>
      </w:r>
    </w:p>
    <w:p w14:paraId="55CFA92E">
      <w:pPr>
        <w:keepNext w:val="0"/>
        <w:keepLines w:val="0"/>
        <w:pageBreakBefore w:val="0"/>
        <w:widowControl w:val="0"/>
        <w:numPr>
          <w:ilvl w:val="0"/>
          <w:numId w:val="7"/>
        </w:numPr>
        <w:kinsoku/>
        <w:wordWrap/>
        <w:overflowPunct/>
        <w:topLinePunct w:val="0"/>
        <w:autoSpaceDE/>
        <w:autoSpaceDN/>
        <w:bidi w:val="0"/>
        <w:adjustRightInd/>
        <w:snapToGrid/>
        <w:spacing w:before="60" w:after="60"/>
        <w:jc w:val="both"/>
        <w:textAlignment w:val="auto"/>
        <w:rPr>
          <w:rFonts w:ascii="Times New Roman" w:hAnsi="Times New Roman" w:eastAsia="MS Mincho" w:cs="Times New Roman"/>
          <w:bCs/>
          <w:i/>
          <w:iCs/>
          <w:color w:val="auto"/>
          <w:sz w:val="20"/>
          <w:szCs w:val="21"/>
          <w:lang w:val="en-GB" w:eastAsia="en-US"/>
        </w:rPr>
      </w:pPr>
      <w:r>
        <w:rPr>
          <w:rFonts w:ascii="Times New Roman" w:hAnsi="Times New Roman" w:eastAsia="MS Mincho" w:cs="Times New Roman"/>
          <w:bCs/>
          <w:i/>
          <w:iCs/>
          <w:color w:val="auto"/>
          <w:sz w:val="20"/>
          <w:szCs w:val="21"/>
          <w:lang w:val="en-GB" w:eastAsia="en-US"/>
        </w:rPr>
        <w:t>One SSB is available during T</w:t>
      </w:r>
      <w:r>
        <w:rPr>
          <w:rFonts w:ascii="Times New Roman" w:hAnsi="Times New Roman" w:eastAsia="MS Mincho" w:cs="Times New Roman"/>
          <w:bCs/>
          <w:i/>
          <w:iCs/>
          <w:color w:val="auto"/>
          <w:sz w:val="20"/>
          <w:szCs w:val="21"/>
          <w:vertAlign w:val="subscript"/>
          <w:lang w:val="en-GB" w:eastAsia="en-US"/>
        </w:rPr>
        <w:t>∆</w:t>
      </w:r>
    </w:p>
    <w:p w14:paraId="1A9A1DEF">
      <w:pPr>
        <w:keepNext w:val="0"/>
        <w:keepLines w:val="0"/>
        <w:pageBreakBefore w:val="0"/>
        <w:widowControl w:val="0"/>
        <w:numPr>
          <w:ilvl w:val="0"/>
          <w:numId w:val="7"/>
        </w:numPr>
        <w:kinsoku/>
        <w:wordWrap/>
        <w:overflowPunct/>
        <w:topLinePunct w:val="0"/>
        <w:autoSpaceDE/>
        <w:autoSpaceDN/>
        <w:bidi w:val="0"/>
        <w:adjustRightInd/>
        <w:snapToGrid/>
        <w:spacing w:before="60" w:after="60"/>
        <w:jc w:val="both"/>
        <w:textAlignment w:val="auto"/>
        <w:rPr>
          <w:rFonts w:ascii="Times New Roman" w:hAnsi="Times New Roman" w:eastAsia="MS Mincho" w:cs="Times New Roman"/>
          <w:bCs/>
          <w:i/>
          <w:iCs/>
          <w:color w:val="auto"/>
          <w:sz w:val="20"/>
          <w:szCs w:val="21"/>
          <w:lang w:val="en-GB" w:eastAsia="en-US"/>
        </w:rPr>
      </w:pPr>
      <w:r>
        <w:rPr>
          <w:rFonts w:ascii="Times New Roman" w:hAnsi="Times New Roman" w:eastAsia="MS Mincho" w:cs="Times New Roman"/>
          <w:bCs/>
          <w:i/>
          <w:iCs/>
          <w:color w:val="auto"/>
          <w:sz w:val="20"/>
          <w:szCs w:val="21"/>
          <w:lang w:val="en-GB" w:eastAsia="en-US"/>
        </w:rPr>
        <w:t>One SSB is available during T</w:t>
      </w:r>
      <w:r>
        <w:rPr>
          <w:rFonts w:ascii="Times New Roman" w:hAnsi="Times New Roman" w:eastAsia="MS Mincho" w:cs="Times New Roman"/>
          <w:bCs/>
          <w:i/>
          <w:iCs/>
          <w:color w:val="auto"/>
          <w:sz w:val="20"/>
          <w:szCs w:val="21"/>
          <w:vertAlign w:val="subscript"/>
          <w:lang w:val="en-GB" w:eastAsia="en-US"/>
        </w:rPr>
        <w:t>IU</w:t>
      </w:r>
    </w:p>
    <w:p w14:paraId="257B1399">
      <w:pPr>
        <w:keepNext w:val="0"/>
        <w:keepLines w:val="0"/>
        <w:pageBreakBefore w:val="0"/>
        <w:widowControl w:val="0"/>
        <w:numPr>
          <w:ilvl w:val="2"/>
          <w:numId w:val="6"/>
        </w:numPr>
        <w:kinsoku/>
        <w:wordWrap/>
        <w:overflowPunct/>
        <w:topLinePunct w:val="0"/>
        <w:autoSpaceDE/>
        <w:autoSpaceDN/>
        <w:bidi w:val="0"/>
        <w:adjustRightInd/>
        <w:snapToGrid/>
        <w:spacing w:before="60" w:after="60"/>
        <w:ind w:left="1637" w:hanging="357"/>
        <w:jc w:val="both"/>
        <w:textAlignment w:val="auto"/>
        <w:rPr>
          <w:rFonts w:ascii="Times New Roman" w:hAnsi="Times New Roman" w:eastAsia="MS Mincho" w:cs="Times New Roman"/>
          <w:i/>
          <w:iCs/>
          <w:color w:val="auto"/>
          <w:sz w:val="20"/>
          <w:szCs w:val="21"/>
          <w:lang w:val="en-GB" w:eastAsia="en-US"/>
        </w:rPr>
      </w:pPr>
      <w:r>
        <w:rPr>
          <w:rFonts w:ascii="Times New Roman" w:hAnsi="Times New Roman" w:eastAsia="MS Mincho" w:cs="Times New Roman"/>
          <w:i/>
          <w:iCs/>
          <w:color w:val="auto"/>
          <w:sz w:val="20"/>
          <w:szCs w:val="21"/>
          <w:lang w:val="en-GB" w:eastAsia="en-US"/>
        </w:rPr>
        <w:t>For Time/location-based CHO with L3 measurement, following applicability rules to adapt HD-FDD case should be added:</w:t>
      </w:r>
    </w:p>
    <w:p w14:paraId="7DAB89C7">
      <w:pPr>
        <w:keepNext w:val="0"/>
        <w:keepLines w:val="0"/>
        <w:pageBreakBefore w:val="0"/>
        <w:widowControl w:val="0"/>
        <w:numPr>
          <w:ilvl w:val="3"/>
          <w:numId w:val="6"/>
        </w:numPr>
        <w:kinsoku/>
        <w:wordWrap/>
        <w:overflowPunct/>
        <w:topLinePunct w:val="0"/>
        <w:autoSpaceDE/>
        <w:autoSpaceDN/>
        <w:bidi w:val="0"/>
        <w:adjustRightInd/>
        <w:snapToGrid/>
        <w:spacing w:before="60" w:after="60"/>
        <w:jc w:val="both"/>
        <w:textAlignment w:val="auto"/>
        <w:rPr>
          <w:rFonts w:ascii="Times New Roman" w:hAnsi="Times New Roman" w:eastAsia="MS Mincho" w:cs="Times New Roman"/>
          <w:bCs/>
          <w:i/>
          <w:iCs/>
          <w:color w:val="auto"/>
          <w:sz w:val="20"/>
          <w:szCs w:val="21"/>
          <w:lang w:val="en-GB" w:eastAsia="en-US"/>
        </w:rPr>
      </w:pPr>
      <w:r>
        <w:rPr>
          <w:rFonts w:ascii="Times New Roman" w:hAnsi="Times New Roman" w:eastAsia="MS Mincho" w:cs="Times New Roman"/>
          <w:bCs/>
          <w:i/>
          <w:iCs/>
          <w:color w:val="auto"/>
          <w:sz w:val="20"/>
          <w:szCs w:val="21"/>
          <w:lang w:val="en-GB" w:eastAsia="en-US"/>
        </w:rPr>
        <w:t xml:space="preserve">For RedCap NTN UE with HD-FDD, the requirements are met provided that </w:t>
      </w:r>
    </w:p>
    <w:p w14:paraId="38D19626">
      <w:pPr>
        <w:keepNext w:val="0"/>
        <w:keepLines w:val="0"/>
        <w:pageBreakBefore w:val="0"/>
        <w:widowControl w:val="0"/>
        <w:numPr>
          <w:ilvl w:val="0"/>
          <w:numId w:val="7"/>
        </w:numPr>
        <w:kinsoku/>
        <w:wordWrap/>
        <w:overflowPunct/>
        <w:topLinePunct w:val="0"/>
        <w:autoSpaceDE/>
        <w:autoSpaceDN/>
        <w:bidi w:val="0"/>
        <w:adjustRightInd/>
        <w:snapToGrid/>
        <w:spacing w:before="60" w:after="60"/>
        <w:jc w:val="both"/>
        <w:textAlignment w:val="auto"/>
        <w:rPr>
          <w:rFonts w:ascii="Times New Roman" w:hAnsi="Times New Roman" w:eastAsia="MS Mincho" w:cs="Times New Roman"/>
          <w:bCs/>
          <w:i/>
          <w:iCs/>
          <w:color w:val="auto"/>
          <w:sz w:val="20"/>
          <w:szCs w:val="21"/>
          <w:lang w:val="en-GB" w:eastAsia="en-US"/>
        </w:rPr>
      </w:pPr>
      <w:r>
        <w:rPr>
          <w:rFonts w:ascii="Times New Roman" w:hAnsi="Times New Roman" w:eastAsia="MS Mincho" w:cs="Times New Roman"/>
          <w:bCs/>
          <w:i/>
          <w:iCs/>
          <w:color w:val="auto"/>
          <w:sz w:val="20"/>
          <w:szCs w:val="21"/>
          <w:lang w:val="en-GB" w:eastAsia="en-US"/>
        </w:rPr>
        <w:t>One SSB is available during T</w:t>
      </w:r>
      <w:r>
        <w:rPr>
          <w:rFonts w:ascii="Times New Roman" w:hAnsi="Times New Roman" w:eastAsia="MS Mincho" w:cs="Times New Roman"/>
          <w:bCs/>
          <w:i/>
          <w:iCs/>
          <w:color w:val="auto"/>
          <w:sz w:val="20"/>
          <w:szCs w:val="21"/>
          <w:vertAlign w:val="subscript"/>
          <w:lang w:val="en-GB" w:eastAsia="en-US"/>
        </w:rPr>
        <w:t>∆</w:t>
      </w:r>
    </w:p>
    <w:p w14:paraId="5B79F736">
      <w:pPr>
        <w:keepNext w:val="0"/>
        <w:keepLines w:val="0"/>
        <w:pageBreakBefore w:val="0"/>
        <w:widowControl w:val="0"/>
        <w:numPr>
          <w:ilvl w:val="0"/>
          <w:numId w:val="7"/>
        </w:numPr>
        <w:kinsoku/>
        <w:wordWrap/>
        <w:overflowPunct/>
        <w:topLinePunct w:val="0"/>
        <w:autoSpaceDE/>
        <w:autoSpaceDN/>
        <w:bidi w:val="0"/>
        <w:adjustRightInd/>
        <w:snapToGrid/>
        <w:spacing w:before="60" w:after="60"/>
        <w:jc w:val="both"/>
        <w:textAlignment w:val="auto"/>
        <w:rPr>
          <w:rFonts w:ascii="Times New Roman" w:hAnsi="Times New Roman" w:eastAsia="MS Mincho" w:cs="Times New Roman"/>
          <w:i/>
          <w:iCs/>
          <w:color w:val="auto"/>
          <w:sz w:val="20"/>
          <w:szCs w:val="21"/>
          <w:lang w:val="en-GB" w:eastAsia="en-US"/>
        </w:rPr>
      </w:pPr>
      <w:r>
        <w:rPr>
          <w:rFonts w:ascii="Times New Roman" w:hAnsi="Times New Roman" w:eastAsia="MS Mincho" w:cs="Times New Roman"/>
          <w:bCs/>
          <w:i/>
          <w:iCs/>
          <w:color w:val="auto"/>
          <w:sz w:val="20"/>
          <w:szCs w:val="21"/>
          <w:lang w:val="en-GB" w:eastAsia="en-US"/>
        </w:rPr>
        <w:t>One SSB is available during T</w:t>
      </w:r>
      <w:r>
        <w:rPr>
          <w:rFonts w:ascii="Times New Roman" w:hAnsi="Times New Roman" w:eastAsia="MS Mincho" w:cs="Times New Roman"/>
          <w:bCs/>
          <w:i/>
          <w:iCs/>
          <w:color w:val="auto"/>
          <w:sz w:val="20"/>
          <w:szCs w:val="21"/>
          <w:vertAlign w:val="subscript"/>
          <w:lang w:val="en-GB" w:eastAsia="en-US"/>
        </w:rPr>
        <w:t>IU</w:t>
      </w:r>
    </w:p>
    <w:p w14:paraId="72355742">
      <w:pPr>
        <w:keepNext w:val="0"/>
        <w:keepLines w:val="0"/>
        <w:pageBreakBefore w:val="0"/>
        <w:widowControl w:val="0"/>
        <w:numPr>
          <w:ilvl w:val="0"/>
          <w:numId w:val="6"/>
        </w:numPr>
        <w:kinsoku/>
        <w:wordWrap/>
        <w:overflowPunct/>
        <w:topLinePunct w:val="0"/>
        <w:autoSpaceDE/>
        <w:autoSpaceDN/>
        <w:bidi w:val="0"/>
        <w:adjustRightInd/>
        <w:snapToGrid/>
        <w:spacing w:before="60" w:after="60"/>
        <w:ind w:left="720"/>
        <w:jc w:val="both"/>
        <w:textAlignment w:val="auto"/>
        <w:rPr>
          <w:rFonts w:hint="eastAsia" w:ascii="Times New Roman" w:hAnsi="Times New Roman" w:eastAsia="等线" w:cs="Times New Roman"/>
          <w:i/>
          <w:iCs/>
          <w:color w:val="auto"/>
          <w:sz w:val="20"/>
          <w:szCs w:val="21"/>
          <w:lang w:val="en-US" w:eastAsia="zh-CN"/>
        </w:rPr>
      </w:pPr>
      <w:r>
        <w:rPr>
          <w:rFonts w:ascii="Times New Roman" w:hAnsi="Times New Roman" w:eastAsia="等线" w:cs="Times New Roman"/>
          <w:i/>
          <w:iCs/>
          <w:color w:val="auto"/>
          <w:sz w:val="20"/>
          <w:szCs w:val="21"/>
          <w:lang w:val="en-GB" w:eastAsia="en-US"/>
        </w:rPr>
        <w:t>Option 2: No spec impact</w:t>
      </w:r>
    </w:p>
    <w:p w14:paraId="0AD558E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b w:val="0"/>
          <w:bCs w:val="0"/>
          <w:i w:val="0"/>
          <w:iCs w:val="0"/>
          <w:kern w:val="2"/>
          <w:sz w:val="20"/>
          <w:szCs w:val="20"/>
          <w:u w:val="none"/>
          <w:lang w:val="en-US" w:eastAsia="zh-CN"/>
        </w:rPr>
      </w:pPr>
      <w:r>
        <w:rPr>
          <w:rFonts w:hint="eastAsia"/>
          <w:b w:val="0"/>
          <w:bCs w:val="0"/>
          <w:i w:val="0"/>
          <w:iCs w:val="0"/>
          <w:kern w:val="2"/>
          <w:sz w:val="20"/>
          <w:szCs w:val="20"/>
          <w:u w:val="none"/>
          <w:lang w:val="en-US" w:eastAsia="zh-CN"/>
        </w:rPr>
        <w:t>According to RAN1</w:t>
      </w:r>
      <w:r>
        <w:rPr>
          <w:rFonts w:hint="default"/>
          <w:b w:val="0"/>
          <w:bCs w:val="0"/>
          <w:i w:val="0"/>
          <w:iCs w:val="0"/>
          <w:kern w:val="2"/>
          <w:sz w:val="20"/>
          <w:szCs w:val="20"/>
          <w:u w:val="none"/>
          <w:lang w:val="en-US" w:eastAsia="zh-CN"/>
        </w:rPr>
        <w:t>’</w:t>
      </w:r>
      <w:r>
        <w:rPr>
          <w:rFonts w:hint="eastAsia"/>
          <w:b w:val="0"/>
          <w:bCs w:val="0"/>
          <w:i w:val="0"/>
          <w:iCs w:val="0"/>
          <w:kern w:val="2"/>
          <w:sz w:val="20"/>
          <w:szCs w:val="20"/>
          <w:u w:val="none"/>
          <w:lang w:val="en-US" w:eastAsia="zh-CN"/>
        </w:rPr>
        <w:t xml:space="preserve">s agreement, that for the Case 5 </w:t>
      </w:r>
      <w:r>
        <w:rPr>
          <w:rFonts w:hint="default"/>
          <w:b w:val="0"/>
          <w:bCs w:val="0"/>
          <w:i w:val="0"/>
          <w:iCs w:val="0"/>
          <w:kern w:val="2"/>
          <w:sz w:val="20"/>
          <w:szCs w:val="20"/>
          <w:u w:val="none"/>
          <w:lang w:val="en-US" w:eastAsia="zh-CN"/>
        </w:rPr>
        <w:t>‘</w:t>
      </w:r>
      <w:r>
        <w:rPr>
          <w:rFonts w:hint="eastAsia"/>
          <w:b w:val="0"/>
          <w:bCs w:val="0"/>
          <w:i w:val="0"/>
          <w:iCs w:val="0"/>
          <w:kern w:val="2"/>
          <w:sz w:val="20"/>
          <w:szCs w:val="20"/>
          <w:u w:val="none"/>
          <w:lang w:val="en-US" w:eastAsia="zh-CN"/>
        </w:rPr>
        <w:t>Configured SSB collides with dynamically scheduled or configured UL transmission</w:t>
      </w:r>
      <w:r>
        <w:rPr>
          <w:rFonts w:hint="default"/>
          <w:b w:val="0"/>
          <w:bCs w:val="0"/>
          <w:i w:val="0"/>
          <w:iCs w:val="0"/>
          <w:kern w:val="2"/>
          <w:sz w:val="20"/>
          <w:szCs w:val="20"/>
          <w:u w:val="none"/>
          <w:lang w:val="en-US" w:eastAsia="zh-CN"/>
        </w:rPr>
        <w:t>’</w:t>
      </w:r>
      <w:r>
        <w:rPr>
          <w:rFonts w:hint="eastAsia"/>
          <w:b w:val="0"/>
          <w:bCs w:val="0"/>
          <w:i w:val="0"/>
          <w:iCs w:val="0"/>
          <w:kern w:val="2"/>
          <w:sz w:val="20"/>
          <w:szCs w:val="20"/>
          <w:u w:val="none"/>
          <w:lang w:val="en-US" w:eastAsia="zh-CN"/>
        </w:rPr>
        <w:t>, the existing priority rules can be reused for HD-FDD (e)RedCap UE in NTN, which means the SSB always prioritized over UL transmission. With this, Option 1 and Option 2 are actually leading to same requirement, due to the prerequisite of Option 1 can always be met. We are both ok with Option 1 (keep consistency with legacy) and Option 2 (no misleading about collision rule) .</w:t>
      </w:r>
    </w:p>
    <w:p w14:paraId="180D977C">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5</w:t>
      </w:r>
      <w:r>
        <w:rPr>
          <w:rFonts w:eastAsia="等线"/>
          <w:b/>
          <w:bCs/>
          <w:i/>
          <w:iCs/>
          <w:sz w:val="20"/>
          <w:szCs w:val="20"/>
        </w:rPr>
        <w:t xml:space="preserve">: </w:t>
      </w:r>
      <w:r>
        <w:rPr>
          <w:rFonts w:hint="eastAsia" w:eastAsia="等线"/>
          <w:b/>
          <w:bCs/>
          <w:i/>
          <w:iCs/>
          <w:sz w:val="20"/>
          <w:szCs w:val="20"/>
          <w:lang w:val="en-US" w:eastAsia="zh-CN"/>
        </w:rPr>
        <w:t xml:space="preserve">Both ok with Option 1 (keep consistency with legacy) and Option 2 (no misleading about collision rule) </w:t>
      </w:r>
    </w:p>
    <w:p w14:paraId="096511DA">
      <w:pPr>
        <w:rPr>
          <w:rFonts w:hint="default"/>
          <w:lang w:val="en-US" w:eastAsia="zh-CN"/>
        </w:rPr>
      </w:pPr>
    </w:p>
    <w:p w14:paraId="0EEE090E">
      <w:pPr>
        <w:pStyle w:val="2"/>
        <w:numPr>
          <w:ilvl w:val="0"/>
          <w:numId w:val="5"/>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zh-CN"/>
        </w:rPr>
        <w:t>UE capability</w:t>
      </w:r>
    </w:p>
    <w:p w14:paraId="735DAE4C">
      <w:pPr>
        <w:pStyle w:val="6"/>
        <w:spacing w:after="0"/>
        <w:rPr>
          <w:rFonts w:hint="eastAsia" w:ascii="Times New Roman" w:hAnsi="Times New Roman" w:cs="Times New Roman" w:eastAsiaTheme="minorEastAsia"/>
          <w:b/>
          <w:i/>
          <w:iCs/>
          <w:sz w:val="20"/>
          <w:szCs w:val="20"/>
          <w:highlight w:val="none"/>
          <w:u w:val="single"/>
          <w:lang w:val="en-US" w:eastAsia="zh-CN" w:bidi="ar-SA"/>
        </w:rPr>
      </w:pPr>
      <w:r>
        <w:rPr>
          <w:rFonts w:hint="eastAsia" w:ascii="Times New Roman" w:hAnsi="Times New Roman" w:cs="Times New Roman" w:eastAsiaTheme="minorEastAsia"/>
          <w:b/>
          <w:i/>
          <w:iCs/>
          <w:sz w:val="20"/>
          <w:szCs w:val="20"/>
          <w:highlight w:val="none"/>
          <w:u w:val="single"/>
          <w:lang w:val="en-US" w:eastAsia="ko-KR" w:bidi="ar-SA"/>
        </w:rPr>
        <w:t>Issue 1-4-1: General principle for designing the UE capabilities for (e)RedCap UE with NTN</w:t>
      </w:r>
    </w:p>
    <w:p w14:paraId="076E78C7">
      <w:pPr>
        <w:keepNext w:val="0"/>
        <w:keepLines w:val="0"/>
        <w:pageBreakBefore w:val="0"/>
        <w:widowControl/>
        <w:kinsoku/>
        <w:wordWrap/>
        <w:overflowPunct/>
        <w:topLinePunct w:val="0"/>
        <w:autoSpaceDE/>
        <w:autoSpaceDN/>
        <w:bidi w:val="0"/>
        <w:adjustRightInd/>
        <w:spacing w:before="60" w:after="60"/>
        <w:textAlignment w:val="auto"/>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ko-KR"/>
        </w:rPr>
        <w:t>&lt;Way Forward&gt;</w:t>
      </w:r>
      <w:r>
        <w:rPr>
          <w:rFonts w:hint="eastAsia"/>
          <w:b/>
          <w:bCs w:val="0"/>
          <w:i/>
          <w:iCs/>
          <w:sz w:val="20"/>
          <w:szCs w:val="20"/>
          <w:highlight w:val="none"/>
          <w:u w:val="none"/>
          <w:lang w:val="en-US" w:eastAsia="zh-CN"/>
        </w:rPr>
        <w:t>:</w:t>
      </w:r>
    </w:p>
    <w:p w14:paraId="1EF19ABE">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1: Declare the capabilities for (e)RedCap UE with FR1-NTN bands through implicitly by declaring support of RedCap (supportOfRedCap-r17 or supportOfERedCap-r18) and support of NTN (nonTerrestrialNetwork-r17).</w:t>
      </w:r>
    </w:p>
    <w:p w14:paraId="48FA4A90">
      <w:pPr>
        <w:keepNext w:val="0"/>
        <w:keepLines w:val="0"/>
        <w:pageBreakBefore w:val="0"/>
        <w:widowControl/>
        <w:numPr>
          <w:ilvl w:val="1"/>
          <w:numId w:val="6"/>
        </w:numPr>
        <w:kinsoku/>
        <w:wordWrap/>
        <w:overflowPunct/>
        <w:topLinePunct w:val="0"/>
        <w:autoSpaceDE/>
        <w:autoSpaceDN/>
        <w:bidi w:val="0"/>
        <w:adjustRightInd/>
        <w:spacing w:before="60" w:after="60"/>
        <w:ind w:left="1140" w:leftChars="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FFS: The Rel-19 requirement can be release independent from Rel-17.</w:t>
      </w:r>
    </w:p>
    <w:p w14:paraId="34BC01D4">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2: RAN4 to introduce new capability to declare support over RedCap over NTN.</w:t>
      </w:r>
    </w:p>
    <w:p w14:paraId="5E32C0AD">
      <w:pPr>
        <w:keepNext w:val="0"/>
        <w:keepLines w:val="0"/>
        <w:pageBreakBefore w:val="0"/>
        <w:widowControl/>
        <w:numPr>
          <w:ilvl w:val="0"/>
          <w:numId w:val="6"/>
        </w:numPr>
        <w:kinsoku/>
        <w:wordWrap/>
        <w:overflowPunct/>
        <w:topLinePunct w:val="0"/>
        <w:autoSpaceDE/>
        <w:autoSpaceDN/>
        <w:bidi w:val="0"/>
        <w:adjustRightInd/>
        <w:spacing w:before="60" w:after="60"/>
        <w:ind w:left="720"/>
        <w:contextualSpacing w:val="0"/>
        <w:textAlignment w:val="auto"/>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Option 3: to wait for RAN1 to confirm the working assumption (UE that supports RedCap and NTN shall support RedCap over NTN).</w:t>
      </w:r>
    </w:p>
    <w:bookmarkEnd w:id="5"/>
    <w:p w14:paraId="716FE38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kern w:val="2"/>
          <w:sz w:val="20"/>
          <w:szCs w:val="20"/>
          <w:lang w:val="en-US" w:eastAsia="zh-CN"/>
        </w:rPr>
      </w:pPr>
      <w:r>
        <w:rPr>
          <w:rFonts w:hint="eastAsia"/>
          <w:kern w:val="2"/>
          <w:sz w:val="20"/>
          <w:szCs w:val="20"/>
          <w:lang w:val="en-US" w:eastAsia="zh-CN"/>
        </w:rPr>
        <w:t>For UE capability, RAN1 hasn</w:t>
      </w:r>
      <w:r>
        <w:rPr>
          <w:rFonts w:hint="default"/>
          <w:kern w:val="2"/>
          <w:sz w:val="20"/>
          <w:szCs w:val="20"/>
          <w:lang w:val="en-US" w:eastAsia="zh-CN"/>
        </w:rPr>
        <w:t>’</w:t>
      </w:r>
      <w:r>
        <w:rPr>
          <w:rFonts w:hint="eastAsia"/>
          <w:kern w:val="2"/>
          <w:sz w:val="20"/>
          <w:szCs w:val="20"/>
          <w:lang w:val="en-US" w:eastAsia="zh-CN"/>
        </w:rPr>
        <w:t>t achieve any working assumption so far, hence, we think it is RAN4</w:t>
      </w:r>
      <w:r>
        <w:rPr>
          <w:rFonts w:hint="default"/>
          <w:kern w:val="2"/>
          <w:sz w:val="20"/>
          <w:szCs w:val="20"/>
          <w:lang w:val="en-US" w:eastAsia="zh-CN"/>
        </w:rPr>
        <w:t>’</w:t>
      </w:r>
      <w:r>
        <w:rPr>
          <w:rFonts w:hint="eastAsia"/>
          <w:kern w:val="2"/>
          <w:sz w:val="20"/>
          <w:szCs w:val="20"/>
          <w:lang w:val="en-US" w:eastAsia="zh-CN"/>
        </w:rPr>
        <w:t>s task to achieve the related agreement.</w:t>
      </w:r>
    </w:p>
    <w:p w14:paraId="7A20FAC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For UE capability declaring, both Option 1 and Option 2 are workable. Considering the principle of no need to introduce new capability if existing capability can be used, we slightly prefer the implicit way to save the workload of RAN2. </w:t>
      </w:r>
    </w:p>
    <w:p w14:paraId="0A07254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Theme="minorEastAsia"/>
          <w:b/>
          <w:bCs/>
          <w:i/>
          <w:iCs/>
          <w:sz w:val="20"/>
          <w:szCs w:val="20"/>
          <w:lang w:val="en-US" w:eastAsia="zh-CN"/>
        </w:rPr>
      </w:pPr>
      <w:bookmarkStart w:id="12" w:name="OLE_LINK33"/>
      <w:r>
        <w:rPr>
          <w:rFonts w:hint="eastAsia"/>
          <w:b/>
          <w:bCs/>
          <w:i/>
          <w:iCs/>
          <w:sz w:val="20"/>
          <w:szCs w:val="20"/>
          <w:lang w:val="en-US" w:eastAsia="zh-CN"/>
        </w:rPr>
        <w:t>Proposal 6: D</w:t>
      </w:r>
      <w:r>
        <w:rPr>
          <w:rFonts w:hint="eastAsia"/>
          <w:b/>
          <w:bCs/>
          <w:i/>
          <w:iCs/>
          <w:sz w:val="20"/>
          <w:szCs w:val="20"/>
          <w:lang w:val="en-US" w:eastAsia="en-US"/>
        </w:rPr>
        <w:t>eclare the capabilities for (e)RedCap UE with FR1-NTN bands</w:t>
      </w:r>
      <w:r>
        <w:rPr>
          <w:rFonts w:hint="eastAsia"/>
          <w:b/>
          <w:bCs/>
          <w:i/>
          <w:iCs/>
          <w:sz w:val="20"/>
          <w:szCs w:val="20"/>
          <w:lang w:val="en-US" w:eastAsia="zh-CN"/>
        </w:rPr>
        <w:t xml:space="preserve"> through implicitly by declaring </w:t>
      </w:r>
      <w:r>
        <w:rPr>
          <w:rFonts w:hint="eastAsia"/>
          <w:b/>
          <w:bCs/>
          <w:i/>
          <w:iCs/>
          <w:sz w:val="20"/>
          <w:szCs w:val="20"/>
          <w:lang w:val="en-US" w:eastAsia="en-US"/>
        </w:rPr>
        <w:t xml:space="preserve">support of RedCap (supportOfRedCap-r17 or supportOfERedCap-r18) </w:t>
      </w:r>
      <w:r>
        <w:rPr>
          <w:rFonts w:hint="eastAsia"/>
          <w:b/>
          <w:bCs/>
          <w:i/>
          <w:iCs/>
          <w:sz w:val="20"/>
          <w:szCs w:val="20"/>
          <w:lang w:val="en-US" w:eastAsia="zh-CN"/>
        </w:rPr>
        <w:t>and</w:t>
      </w:r>
      <w:r>
        <w:rPr>
          <w:rFonts w:hint="eastAsia"/>
          <w:b/>
          <w:bCs/>
          <w:i/>
          <w:iCs/>
          <w:sz w:val="20"/>
          <w:szCs w:val="20"/>
          <w:lang w:val="en-US" w:eastAsia="en-US"/>
        </w:rPr>
        <w:t xml:space="preserve"> support of NTN (nonTerrestrialNetwork-r17)</w:t>
      </w:r>
      <w:r>
        <w:rPr>
          <w:rFonts w:hint="eastAsia"/>
          <w:b/>
          <w:bCs/>
          <w:i/>
          <w:iCs/>
          <w:sz w:val="20"/>
          <w:szCs w:val="20"/>
          <w:lang w:val="en-US" w:eastAsia="zh-CN"/>
        </w:rPr>
        <w:t>.</w:t>
      </w:r>
    </w:p>
    <w:bookmarkEnd w:id="6"/>
    <w:bookmarkEnd w:id="12"/>
    <w:p w14:paraId="4503E848">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965FD2E">
      <w:pPr>
        <w:spacing w:before="60"/>
        <w:rPr>
          <w:sz w:val="20"/>
          <w:szCs w:val="20"/>
        </w:rPr>
      </w:pPr>
      <w:r>
        <w:rPr>
          <w:sz w:val="20"/>
          <w:szCs w:val="20"/>
        </w:rPr>
        <w:t xml:space="preserve">Based on the discussion above, the following proposals are concluded. </w:t>
      </w:r>
      <w:bookmarkEnd w:id="7"/>
      <w:bookmarkEnd w:id="8"/>
    </w:p>
    <w:p w14:paraId="4D5F44B4">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1</w:t>
      </w:r>
      <w:r>
        <w:rPr>
          <w:rFonts w:eastAsia="等线"/>
          <w:b/>
          <w:bCs/>
          <w:i/>
          <w:iCs/>
          <w:sz w:val="20"/>
          <w:szCs w:val="20"/>
        </w:rPr>
        <w:t xml:space="preserve">: </w:t>
      </w:r>
      <w:r>
        <w:rPr>
          <w:rFonts w:hint="eastAsia" w:eastAsia="等线"/>
          <w:b/>
          <w:bCs/>
          <w:i/>
          <w:iCs/>
          <w:sz w:val="20"/>
          <w:szCs w:val="20"/>
          <w:lang w:val="en-US" w:eastAsia="zh-CN"/>
        </w:rPr>
        <w:t>Define the MDT requirements i</w:t>
      </w:r>
      <w:r>
        <w:rPr>
          <w:rFonts w:hint="eastAsia"/>
          <w:b/>
          <w:bCs/>
          <w:i/>
          <w:iCs/>
          <w:sz w:val="20"/>
          <w:szCs w:val="20"/>
          <w:lang w:val="en-US" w:eastAsia="zh-CN"/>
        </w:rPr>
        <w:t xml:space="preserve">n RRC_IDLE and RRC_INACTIVE state </w:t>
      </w:r>
      <w:r>
        <w:rPr>
          <w:rFonts w:hint="eastAsia" w:eastAsia="等线"/>
          <w:b/>
          <w:bCs/>
          <w:i/>
          <w:iCs/>
          <w:sz w:val="20"/>
          <w:szCs w:val="20"/>
          <w:lang w:val="en-US" w:eastAsia="zh-CN"/>
        </w:rPr>
        <w:t>for Redcap over NTN. The legacy requirement from NTN can be reused.</w:t>
      </w:r>
    </w:p>
    <w:p w14:paraId="0447FCD3">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2</w:t>
      </w:r>
      <w:r>
        <w:rPr>
          <w:rFonts w:eastAsia="等线"/>
          <w:b/>
          <w:bCs/>
          <w:i/>
          <w:iCs/>
          <w:sz w:val="20"/>
          <w:szCs w:val="20"/>
        </w:rPr>
        <w:t xml:space="preserve">: </w:t>
      </w:r>
      <w:r>
        <w:rPr>
          <w:rFonts w:hint="eastAsia" w:eastAsia="等线"/>
          <w:b/>
          <w:bCs/>
          <w:i/>
          <w:iCs/>
          <w:sz w:val="20"/>
          <w:szCs w:val="20"/>
          <w:lang w:val="en-US" w:eastAsia="zh-CN"/>
        </w:rPr>
        <w:t>Reuse legacy NTN MDT requirements for Redcap UE over NTN, including measurement requirements and relative time stamp requirements.</w:t>
      </w:r>
    </w:p>
    <w:p w14:paraId="7605AC11">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No need to send LS to RAN2 / RAN3 informing them about the RAN4 agreement on specifying MDT requirements in RRC_IDLE and RRC_INACTIVE for (e)RedCap UE supporting MDT.</w:t>
      </w:r>
    </w:p>
    <w:p w14:paraId="69410371">
      <w:pPr>
        <w:keepNext w:val="0"/>
        <w:keepLines w:val="0"/>
        <w:pageBreakBefore w:val="0"/>
        <w:widowControl/>
        <w:numPr>
          <w:ilvl w:val="0"/>
          <w:numId w:val="0"/>
        </w:numPr>
        <w:kinsoku/>
        <w:wordWrap/>
        <w:overflowPunct/>
        <w:topLinePunct w:val="0"/>
        <w:autoSpaceDE/>
        <w:autoSpaceDN/>
        <w:bidi w:val="0"/>
        <w:adjustRightInd/>
        <w:snapToGrid/>
        <w:spacing w:before="60" w:after="60" w:line="240" w:lineRule="auto"/>
        <w:ind w:leftChars="0"/>
        <w:jc w:val="both"/>
        <w:textAlignment w:val="auto"/>
        <w:rPr>
          <w:rFonts w:hint="default"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4</w:t>
      </w:r>
      <w:r>
        <w:rPr>
          <w:rFonts w:eastAsia="等线"/>
          <w:b/>
          <w:bCs/>
          <w:i/>
          <w:iCs/>
          <w:sz w:val="20"/>
          <w:szCs w:val="20"/>
        </w:rPr>
        <w:t xml:space="preserve">: </w:t>
      </w:r>
      <w:r>
        <w:rPr>
          <w:rFonts w:hint="eastAsia" w:eastAsia="等线"/>
          <w:b/>
          <w:bCs/>
          <w:i/>
          <w:iCs/>
          <w:sz w:val="20"/>
          <w:szCs w:val="20"/>
          <w:lang w:val="en-US" w:eastAsia="zh-CN"/>
        </w:rPr>
        <w:t>For the SMTC adjustment in IDLE/Inactive capability, (e)RedCap UEs with NTN maintain the same principle used in NR NTN.</w:t>
      </w:r>
    </w:p>
    <w:p w14:paraId="716F7EC6">
      <w:pPr>
        <w:spacing w:before="60"/>
        <w:rPr>
          <w:rFonts w:hint="eastAsia" w:eastAsia="等线"/>
          <w:b/>
          <w:bCs/>
          <w:i/>
          <w:iCs/>
          <w:sz w:val="20"/>
          <w:szCs w:val="20"/>
          <w:lang w:val="en-US" w:eastAsia="zh-CN"/>
        </w:rPr>
      </w:pPr>
      <w:r>
        <w:rPr>
          <w:rFonts w:eastAsia="等线"/>
          <w:b/>
          <w:bCs/>
          <w:i/>
          <w:iCs/>
          <w:sz w:val="20"/>
          <w:szCs w:val="20"/>
        </w:rPr>
        <w:t xml:space="preserve">Proposal </w:t>
      </w:r>
      <w:r>
        <w:rPr>
          <w:rFonts w:hint="eastAsia" w:eastAsia="等线"/>
          <w:b/>
          <w:bCs/>
          <w:i/>
          <w:iCs/>
          <w:sz w:val="20"/>
          <w:szCs w:val="20"/>
          <w:lang w:val="en-US" w:eastAsia="zh-CN"/>
        </w:rPr>
        <w:t>5</w:t>
      </w:r>
      <w:r>
        <w:rPr>
          <w:rFonts w:eastAsia="等线"/>
          <w:b/>
          <w:bCs/>
          <w:i/>
          <w:iCs/>
          <w:sz w:val="20"/>
          <w:szCs w:val="20"/>
        </w:rPr>
        <w:t xml:space="preserve">: </w:t>
      </w:r>
      <w:r>
        <w:rPr>
          <w:rFonts w:hint="eastAsia" w:eastAsia="等线"/>
          <w:b/>
          <w:bCs/>
          <w:i/>
          <w:iCs/>
          <w:sz w:val="20"/>
          <w:szCs w:val="20"/>
          <w:lang w:val="en-US" w:eastAsia="zh-CN"/>
        </w:rPr>
        <w:t xml:space="preserve">Both ok with Option 1 (keep consistency with legacy) and Option 2 (no misleading about collision rule) </w:t>
      </w:r>
    </w:p>
    <w:p w14:paraId="6EC2954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eastAsiaTheme="minorEastAsia"/>
          <w:b/>
          <w:bCs/>
          <w:i/>
          <w:iCs/>
          <w:sz w:val="20"/>
          <w:szCs w:val="20"/>
          <w:lang w:val="en-US" w:eastAsia="zh-CN"/>
        </w:rPr>
      </w:pPr>
      <w:r>
        <w:rPr>
          <w:rFonts w:hint="eastAsia"/>
          <w:b/>
          <w:bCs/>
          <w:i/>
          <w:iCs/>
          <w:sz w:val="20"/>
          <w:szCs w:val="20"/>
          <w:lang w:val="en-US" w:eastAsia="zh-CN"/>
        </w:rPr>
        <w:t>Proposal 6: D</w:t>
      </w:r>
      <w:r>
        <w:rPr>
          <w:rFonts w:hint="eastAsia"/>
          <w:b/>
          <w:bCs/>
          <w:i/>
          <w:iCs/>
          <w:sz w:val="20"/>
          <w:szCs w:val="20"/>
          <w:lang w:val="en-US" w:eastAsia="en-US"/>
        </w:rPr>
        <w:t>eclare the capabilities for (e)RedCap UE with FR1-NTN bands</w:t>
      </w:r>
      <w:r>
        <w:rPr>
          <w:rFonts w:hint="eastAsia"/>
          <w:b/>
          <w:bCs/>
          <w:i/>
          <w:iCs/>
          <w:sz w:val="20"/>
          <w:szCs w:val="20"/>
          <w:lang w:val="en-US" w:eastAsia="zh-CN"/>
        </w:rPr>
        <w:t xml:space="preserve"> through implicitly by declaring </w:t>
      </w:r>
      <w:r>
        <w:rPr>
          <w:rFonts w:hint="eastAsia"/>
          <w:b/>
          <w:bCs/>
          <w:i/>
          <w:iCs/>
          <w:sz w:val="20"/>
          <w:szCs w:val="20"/>
          <w:lang w:val="en-US" w:eastAsia="en-US"/>
        </w:rPr>
        <w:t xml:space="preserve">support of RedCap (supportOfRedCap-r17 or supportOfERedCap-r18) </w:t>
      </w:r>
      <w:r>
        <w:rPr>
          <w:rFonts w:hint="eastAsia"/>
          <w:b/>
          <w:bCs/>
          <w:i/>
          <w:iCs/>
          <w:sz w:val="20"/>
          <w:szCs w:val="20"/>
          <w:lang w:val="en-US" w:eastAsia="zh-CN"/>
        </w:rPr>
        <w:t>and</w:t>
      </w:r>
      <w:r>
        <w:rPr>
          <w:rFonts w:hint="eastAsia"/>
          <w:b/>
          <w:bCs/>
          <w:i/>
          <w:iCs/>
          <w:sz w:val="20"/>
          <w:szCs w:val="20"/>
          <w:lang w:val="en-US" w:eastAsia="en-US"/>
        </w:rPr>
        <w:t xml:space="preserve"> support of NTN (nonTerrestrialNetwork-r17)</w:t>
      </w:r>
      <w:r>
        <w:rPr>
          <w:rFonts w:hint="eastAsia"/>
          <w:b/>
          <w:bCs/>
          <w:i/>
          <w:iCs/>
          <w:sz w:val="20"/>
          <w:szCs w:val="20"/>
          <w:lang w:val="en-US" w:eastAsia="zh-CN"/>
        </w:rPr>
        <w:t>.</w:t>
      </w:r>
    </w:p>
    <w:p w14:paraId="70213217">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1B4AD75">
      <w:pPr>
        <w:numPr>
          <w:ilvl w:val="0"/>
          <w:numId w:val="8"/>
        </w:numPr>
        <w:rPr>
          <w:rFonts w:hint="default" w:eastAsiaTheme="minorEastAsia"/>
          <w:sz w:val="20"/>
          <w:szCs w:val="20"/>
          <w:lang w:val="en-US" w:eastAsia="zh-CN"/>
        </w:rPr>
      </w:pPr>
      <w:r>
        <w:rPr>
          <w:rFonts w:hint="eastAsia"/>
          <w:sz w:val="20"/>
          <w:szCs w:val="20"/>
          <w:lang w:val="en-US" w:eastAsia="zh-CN"/>
        </w:rPr>
        <w:t>R4-2508287, WF on RRM requirements for NR_NTN_Ph3_Part1, Moderator (CATT)</w:t>
      </w:r>
    </w:p>
    <w:sectPr>
      <w:pgSz w:w="11900" w:h="16840"/>
      <w:pgMar w:top="1134" w:right="1417"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7901510"/>
    <w:multiLevelType w:val="multilevel"/>
    <w:tmpl w:val="47901510"/>
    <w:lvl w:ilvl="0" w:tentative="0">
      <w:start w:val="3"/>
      <w:numFmt w:val="bullet"/>
      <w:lvlText w:val="-"/>
      <w:lvlJc w:val="left"/>
      <w:pPr>
        <w:ind w:left="3516" w:hanging="420"/>
      </w:pPr>
      <w:rPr>
        <w:rFonts w:hint="default" w:ascii="Times New Roman" w:hAnsi="Times New Roman" w:cs="Times New Roman" w:eastAsiaTheme="minorEastAsia"/>
      </w:rPr>
    </w:lvl>
    <w:lvl w:ilvl="1" w:tentative="0">
      <w:start w:val="1"/>
      <w:numFmt w:val="bullet"/>
      <w:lvlText w:val=""/>
      <w:lvlJc w:val="left"/>
      <w:pPr>
        <w:ind w:left="3936" w:hanging="420"/>
      </w:pPr>
      <w:rPr>
        <w:rFonts w:hint="default" w:ascii="Wingdings" w:hAnsi="Wingdings"/>
      </w:rPr>
    </w:lvl>
    <w:lvl w:ilvl="2" w:tentative="0">
      <w:start w:val="1"/>
      <w:numFmt w:val="bullet"/>
      <w:lvlText w:val=""/>
      <w:lvlJc w:val="left"/>
      <w:pPr>
        <w:ind w:left="4356" w:hanging="420"/>
      </w:pPr>
      <w:rPr>
        <w:rFonts w:hint="default" w:ascii="Wingdings" w:hAnsi="Wingdings"/>
      </w:rPr>
    </w:lvl>
    <w:lvl w:ilvl="3" w:tentative="0">
      <w:start w:val="1"/>
      <w:numFmt w:val="bullet"/>
      <w:lvlText w:val=""/>
      <w:lvlJc w:val="left"/>
      <w:pPr>
        <w:ind w:left="4776" w:hanging="420"/>
      </w:pPr>
      <w:rPr>
        <w:rFonts w:hint="default" w:ascii="Wingdings" w:hAnsi="Wingdings"/>
      </w:rPr>
    </w:lvl>
    <w:lvl w:ilvl="4" w:tentative="0">
      <w:start w:val="1"/>
      <w:numFmt w:val="bullet"/>
      <w:lvlText w:val=""/>
      <w:lvlJc w:val="left"/>
      <w:pPr>
        <w:ind w:left="5196" w:hanging="420"/>
      </w:pPr>
      <w:rPr>
        <w:rFonts w:hint="default" w:ascii="Wingdings" w:hAnsi="Wingdings"/>
      </w:rPr>
    </w:lvl>
    <w:lvl w:ilvl="5" w:tentative="0">
      <w:start w:val="1"/>
      <w:numFmt w:val="bullet"/>
      <w:lvlText w:val=""/>
      <w:lvlJc w:val="left"/>
      <w:pPr>
        <w:ind w:left="5616" w:hanging="420"/>
      </w:pPr>
      <w:rPr>
        <w:rFonts w:hint="default" w:ascii="Wingdings" w:hAnsi="Wingdings"/>
      </w:rPr>
    </w:lvl>
    <w:lvl w:ilvl="6" w:tentative="0">
      <w:start w:val="1"/>
      <w:numFmt w:val="bullet"/>
      <w:lvlText w:val=""/>
      <w:lvlJc w:val="left"/>
      <w:pPr>
        <w:ind w:left="6036" w:hanging="420"/>
      </w:pPr>
      <w:rPr>
        <w:rFonts w:hint="default" w:ascii="Wingdings" w:hAnsi="Wingdings"/>
      </w:rPr>
    </w:lvl>
    <w:lvl w:ilvl="7" w:tentative="0">
      <w:start w:val="1"/>
      <w:numFmt w:val="bullet"/>
      <w:lvlText w:val=""/>
      <w:lvlJc w:val="left"/>
      <w:pPr>
        <w:ind w:left="6456" w:hanging="420"/>
      </w:pPr>
      <w:rPr>
        <w:rFonts w:hint="default" w:ascii="Wingdings" w:hAnsi="Wingdings"/>
      </w:rPr>
    </w:lvl>
    <w:lvl w:ilvl="8" w:tentative="0">
      <w:start w:val="1"/>
      <w:numFmt w:val="bullet"/>
      <w:lvlText w:val=""/>
      <w:lvlJc w:val="left"/>
      <w:pPr>
        <w:ind w:left="6876" w:hanging="420"/>
      </w:pPr>
      <w:rPr>
        <w:rFonts w:hint="default" w:ascii="Wingdings" w:hAnsi="Wingdings"/>
      </w:rPr>
    </w:lvl>
  </w:abstractNum>
  <w:abstractNum w:abstractNumId="2">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lang w:val="en-US"/>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9EE624D"/>
    <w:multiLevelType w:val="singleLevel"/>
    <w:tmpl w:val="79EE624D"/>
    <w:lvl w:ilvl="0" w:tentative="0">
      <w:start w:val="1"/>
      <w:numFmt w:val="decimal"/>
      <w:suff w:val="space"/>
      <w:lvlText w:val="[%1]"/>
      <w:lvlJc w:val="left"/>
    </w:lvl>
  </w:abstractNum>
  <w:num w:numId="1">
    <w:abstractNumId w:val="6"/>
  </w:num>
  <w:num w:numId="2">
    <w:abstractNumId w:val="4"/>
  </w:num>
  <w:num w:numId="3">
    <w:abstractNumId w:val="2"/>
  </w:num>
  <w:num w:numId="4">
    <w:abstractNumId w:val="5"/>
  </w:num>
  <w:num w:numId="5">
    <w:abstractNumId w:val="0"/>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59B"/>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80A"/>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37EBE"/>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437C9C"/>
    <w:rsid w:val="0157185C"/>
    <w:rsid w:val="02BB15E8"/>
    <w:rsid w:val="02CD6222"/>
    <w:rsid w:val="0301309F"/>
    <w:rsid w:val="0308283B"/>
    <w:rsid w:val="032875BA"/>
    <w:rsid w:val="035A658E"/>
    <w:rsid w:val="03FF761E"/>
    <w:rsid w:val="04027B7C"/>
    <w:rsid w:val="04270E0A"/>
    <w:rsid w:val="04440527"/>
    <w:rsid w:val="04DB75FA"/>
    <w:rsid w:val="04DC77BE"/>
    <w:rsid w:val="04F14AC0"/>
    <w:rsid w:val="053E51B4"/>
    <w:rsid w:val="05A920F6"/>
    <w:rsid w:val="05CF2BA5"/>
    <w:rsid w:val="05E842A2"/>
    <w:rsid w:val="061C4A75"/>
    <w:rsid w:val="06830D33"/>
    <w:rsid w:val="07B91BA9"/>
    <w:rsid w:val="07E3754D"/>
    <w:rsid w:val="087215FB"/>
    <w:rsid w:val="08AB1B88"/>
    <w:rsid w:val="09301679"/>
    <w:rsid w:val="09380145"/>
    <w:rsid w:val="098E414D"/>
    <w:rsid w:val="09C43F96"/>
    <w:rsid w:val="0A002B8F"/>
    <w:rsid w:val="0A2516E8"/>
    <w:rsid w:val="0A2F10B0"/>
    <w:rsid w:val="0A314183"/>
    <w:rsid w:val="0A512B65"/>
    <w:rsid w:val="0A613B9D"/>
    <w:rsid w:val="0A6E4719"/>
    <w:rsid w:val="0AB1352C"/>
    <w:rsid w:val="0B1810CB"/>
    <w:rsid w:val="0B3C6892"/>
    <w:rsid w:val="0B4D1804"/>
    <w:rsid w:val="0B4E364B"/>
    <w:rsid w:val="0BC169A8"/>
    <w:rsid w:val="0BFD3FEE"/>
    <w:rsid w:val="0BFE43A0"/>
    <w:rsid w:val="0C34713B"/>
    <w:rsid w:val="0C6A2398"/>
    <w:rsid w:val="0D11391B"/>
    <w:rsid w:val="0D6D742F"/>
    <w:rsid w:val="0D7B07A7"/>
    <w:rsid w:val="0DB01D4D"/>
    <w:rsid w:val="0DDD1FF8"/>
    <w:rsid w:val="0E115F02"/>
    <w:rsid w:val="0E1E058B"/>
    <w:rsid w:val="0E6C3CB3"/>
    <w:rsid w:val="0E723D6F"/>
    <w:rsid w:val="0EA0635C"/>
    <w:rsid w:val="0EB73522"/>
    <w:rsid w:val="0EC601AB"/>
    <w:rsid w:val="0F2A17EF"/>
    <w:rsid w:val="103877B0"/>
    <w:rsid w:val="10C74B9A"/>
    <w:rsid w:val="10FD15E1"/>
    <w:rsid w:val="11157AC0"/>
    <w:rsid w:val="11410433"/>
    <w:rsid w:val="114C2E03"/>
    <w:rsid w:val="11502A3C"/>
    <w:rsid w:val="116206E1"/>
    <w:rsid w:val="11E74B6B"/>
    <w:rsid w:val="11EF3345"/>
    <w:rsid w:val="12076678"/>
    <w:rsid w:val="12CC1965"/>
    <w:rsid w:val="135D091C"/>
    <w:rsid w:val="137462B3"/>
    <w:rsid w:val="1381490C"/>
    <w:rsid w:val="144E60BA"/>
    <w:rsid w:val="14704788"/>
    <w:rsid w:val="14815722"/>
    <w:rsid w:val="14DF0F61"/>
    <w:rsid w:val="15321084"/>
    <w:rsid w:val="155A08C9"/>
    <w:rsid w:val="164E7427"/>
    <w:rsid w:val="165E62D7"/>
    <w:rsid w:val="16701F86"/>
    <w:rsid w:val="16E2462A"/>
    <w:rsid w:val="16F963FC"/>
    <w:rsid w:val="17F40229"/>
    <w:rsid w:val="17F76EF9"/>
    <w:rsid w:val="18196732"/>
    <w:rsid w:val="182D29DC"/>
    <w:rsid w:val="18572D14"/>
    <w:rsid w:val="18976445"/>
    <w:rsid w:val="19166C11"/>
    <w:rsid w:val="19684D1A"/>
    <w:rsid w:val="199268D2"/>
    <w:rsid w:val="19A32242"/>
    <w:rsid w:val="19AE4C3C"/>
    <w:rsid w:val="19E84EE7"/>
    <w:rsid w:val="1A337C08"/>
    <w:rsid w:val="1A693185"/>
    <w:rsid w:val="1AE9076D"/>
    <w:rsid w:val="1B08792E"/>
    <w:rsid w:val="1B1E5FDB"/>
    <w:rsid w:val="1B6524AD"/>
    <w:rsid w:val="1B846519"/>
    <w:rsid w:val="1C045BB5"/>
    <w:rsid w:val="1C166ABB"/>
    <w:rsid w:val="1C28484F"/>
    <w:rsid w:val="1C501E46"/>
    <w:rsid w:val="1CE6214B"/>
    <w:rsid w:val="1D482986"/>
    <w:rsid w:val="1D530466"/>
    <w:rsid w:val="1DFA1A6E"/>
    <w:rsid w:val="1E1E7279"/>
    <w:rsid w:val="1E727913"/>
    <w:rsid w:val="1EBC4909"/>
    <w:rsid w:val="1F161C13"/>
    <w:rsid w:val="1FC30CF0"/>
    <w:rsid w:val="1FFF3F0C"/>
    <w:rsid w:val="20251BCD"/>
    <w:rsid w:val="203F5164"/>
    <w:rsid w:val="20577E1E"/>
    <w:rsid w:val="20741BCD"/>
    <w:rsid w:val="21812D83"/>
    <w:rsid w:val="21E6327B"/>
    <w:rsid w:val="21EE246F"/>
    <w:rsid w:val="220A3DCE"/>
    <w:rsid w:val="226278E6"/>
    <w:rsid w:val="228679ED"/>
    <w:rsid w:val="2297614E"/>
    <w:rsid w:val="22CD4739"/>
    <w:rsid w:val="22DF4B25"/>
    <w:rsid w:val="235D321D"/>
    <w:rsid w:val="23A0131E"/>
    <w:rsid w:val="23F24A71"/>
    <w:rsid w:val="2453420A"/>
    <w:rsid w:val="24657273"/>
    <w:rsid w:val="25B0630F"/>
    <w:rsid w:val="25C62A88"/>
    <w:rsid w:val="25D95EB3"/>
    <w:rsid w:val="260E7FC9"/>
    <w:rsid w:val="264F651F"/>
    <w:rsid w:val="26AB5CAA"/>
    <w:rsid w:val="26BF4B3C"/>
    <w:rsid w:val="270343AF"/>
    <w:rsid w:val="275238E8"/>
    <w:rsid w:val="27885E9A"/>
    <w:rsid w:val="27A9199E"/>
    <w:rsid w:val="27C37418"/>
    <w:rsid w:val="27DA56EB"/>
    <w:rsid w:val="27E70AD2"/>
    <w:rsid w:val="282B4205"/>
    <w:rsid w:val="28340C68"/>
    <w:rsid w:val="28E63708"/>
    <w:rsid w:val="2903193C"/>
    <w:rsid w:val="293A0182"/>
    <w:rsid w:val="29AE1EEB"/>
    <w:rsid w:val="29B87E90"/>
    <w:rsid w:val="29F41202"/>
    <w:rsid w:val="2A1C7136"/>
    <w:rsid w:val="2A52567F"/>
    <w:rsid w:val="2A9860D6"/>
    <w:rsid w:val="2AD63ADB"/>
    <w:rsid w:val="2AF84813"/>
    <w:rsid w:val="2B280B73"/>
    <w:rsid w:val="2B2D51E0"/>
    <w:rsid w:val="2B3B6068"/>
    <w:rsid w:val="2CCE420F"/>
    <w:rsid w:val="2D3C0CBF"/>
    <w:rsid w:val="2D480610"/>
    <w:rsid w:val="2DFC7047"/>
    <w:rsid w:val="2E177608"/>
    <w:rsid w:val="2E285745"/>
    <w:rsid w:val="2E3C798B"/>
    <w:rsid w:val="2E954754"/>
    <w:rsid w:val="2EBB7CD6"/>
    <w:rsid w:val="2EBF79F5"/>
    <w:rsid w:val="2ECD6A4D"/>
    <w:rsid w:val="2F1F43E1"/>
    <w:rsid w:val="2F28060A"/>
    <w:rsid w:val="2F8831C0"/>
    <w:rsid w:val="2FF748E5"/>
    <w:rsid w:val="300B5909"/>
    <w:rsid w:val="302A3B16"/>
    <w:rsid w:val="30B40872"/>
    <w:rsid w:val="30B631AE"/>
    <w:rsid w:val="30CD41B2"/>
    <w:rsid w:val="311C418B"/>
    <w:rsid w:val="312A6EA1"/>
    <w:rsid w:val="314F1B30"/>
    <w:rsid w:val="31686321"/>
    <w:rsid w:val="325B0B02"/>
    <w:rsid w:val="33106379"/>
    <w:rsid w:val="33417212"/>
    <w:rsid w:val="337A5602"/>
    <w:rsid w:val="33867DCA"/>
    <w:rsid w:val="33870849"/>
    <w:rsid w:val="339A6C60"/>
    <w:rsid w:val="33A629ED"/>
    <w:rsid w:val="33C33478"/>
    <w:rsid w:val="33CE3940"/>
    <w:rsid w:val="33E2308C"/>
    <w:rsid w:val="33FE13A0"/>
    <w:rsid w:val="33FF585B"/>
    <w:rsid w:val="341222FE"/>
    <w:rsid w:val="34767F95"/>
    <w:rsid w:val="34AF7BFE"/>
    <w:rsid w:val="34C969B6"/>
    <w:rsid w:val="35A645F2"/>
    <w:rsid w:val="35CB3800"/>
    <w:rsid w:val="36081486"/>
    <w:rsid w:val="3620464F"/>
    <w:rsid w:val="36267311"/>
    <w:rsid w:val="36416C14"/>
    <w:rsid w:val="366B2405"/>
    <w:rsid w:val="36ED2DC2"/>
    <w:rsid w:val="378E4517"/>
    <w:rsid w:val="37CB4866"/>
    <w:rsid w:val="38616D76"/>
    <w:rsid w:val="38C116AD"/>
    <w:rsid w:val="3ABF584B"/>
    <w:rsid w:val="3AE06415"/>
    <w:rsid w:val="3B1D4D3A"/>
    <w:rsid w:val="3B1E11F2"/>
    <w:rsid w:val="3B3261DC"/>
    <w:rsid w:val="3B8F2744"/>
    <w:rsid w:val="3BCD3BF3"/>
    <w:rsid w:val="3BFE0C95"/>
    <w:rsid w:val="3C00607D"/>
    <w:rsid w:val="3C1B0BDA"/>
    <w:rsid w:val="3C1C2A58"/>
    <w:rsid w:val="3C3C220E"/>
    <w:rsid w:val="3C3F629C"/>
    <w:rsid w:val="3C4C1B38"/>
    <w:rsid w:val="3CC57762"/>
    <w:rsid w:val="3D2E150D"/>
    <w:rsid w:val="3D544B41"/>
    <w:rsid w:val="3D774C98"/>
    <w:rsid w:val="3DA924E0"/>
    <w:rsid w:val="3DD26E51"/>
    <w:rsid w:val="3DFE15C4"/>
    <w:rsid w:val="3E6447EC"/>
    <w:rsid w:val="3EEA4AAC"/>
    <w:rsid w:val="3EF44FD4"/>
    <w:rsid w:val="3FB93D52"/>
    <w:rsid w:val="3FC83D82"/>
    <w:rsid w:val="3FDA4BFA"/>
    <w:rsid w:val="3FEF1D74"/>
    <w:rsid w:val="3FFA159D"/>
    <w:rsid w:val="4028093E"/>
    <w:rsid w:val="403F2677"/>
    <w:rsid w:val="40A203D0"/>
    <w:rsid w:val="41021CB6"/>
    <w:rsid w:val="42714C57"/>
    <w:rsid w:val="428C04CB"/>
    <w:rsid w:val="4293387E"/>
    <w:rsid w:val="43294C63"/>
    <w:rsid w:val="43297F3D"/>
    <w:rsid w:val="432F05BA"/>
    <w:rsid w:val="438A330C"/>
    <w:rsid w:val="43B141DD"/>
    <w:rsid w:val="43BB175A"/>
    <w:rsid w:val="43CB7FC0"/>
    <w:rsid w:val="43D2693C"/>
    <w:rsid w:val="443A7490"/>
    <w:rsid w:val="44694FB6"/>
    <w:rsid w:val="44D416C8"/>
    <w:rsid w:val="44E55C94"/>
    <w:rsid w:val="44F042A4"/>
    <w:rsid w:val="45004955"/>
    <w:rsid w:val="45104F09"/>
    <w:rsid w:val="4568626D"/>
    <w:rsid w:val="45A64DC9"/>
    <w:rsid w:val="45D44A70"/>
    <w:rsid w:val="4606166D"/>
    <w:rsid w:val="461247C1"/>
    <w:rsid w:val="468D0F58"/>
    <w:rsid w:val="47382E8E"/>
    <w:rsid w:val="47554B2A"/>
    <w:rsid w:val="47BD2EBF"/>
    <w:rsid w:val="480073D8"/>
    <w:rsid w:val="48045BE0"/>
    <w:rsid w:val="483C7010"/>
    <w:rsid w:val="48827744"/>
    <w:rsid w:val="489F04CD"/>
    <w:rsid w:val="48DD3AEA"/>
    <w:rsid w:val="48FF5BC4"/>
    <w:rsid w:val="4909275C"/>
    <w:rsid w:val="496B0DFD"/>
    <w:rsid w:val="49916B70"/>
    <w:rsid w:val="499C7F1A"/>
    <w:rsid w:val="49BD7F19"/>
    <w:rsid w:val="4A4107F5"/>
    <w:rsid w:val="4A6E3875"/>
    <w:rsid w:val="4AAD5187"/>
    <w:rsid w:val="4AB334E0"/>
    <w:rsid w:val="4AC54120"/>
    <w:rsid w:val="4AE14CE5"/>
    <w:rsid w:val="4B300FE0"/>
    <w:rsid w:val="4B820C21"/>
    <w:rsid w:val="4C14046C"/>
    <w:rsid w:val="4C311206"/>
    <w:rsid w:val="4C740FBB"/>
    <w:rsid w:val="4CB32D3F"/>
    <w:rsid w:val="4D1769F0"/>
    <w:rsid w:val="4D2C3744"/>
    <w:rsid w:val="4DF73079"/>
    <w:rsid w:val="4E222F58"/>
    <w:rsid w:val="4E63642D"/>
    <w:rsid w:val="4E734BC1"/>
    <w:rsid w:val="4E7F6788"/>
    <w:rsid w:val="4EEE3525"/>
    <w:rsid w:val="4F1A25AD"/>
    <w:rsid w:val="4F4A5D3D"/>
    <w:rsid w:val="4F882DF6"/>
    <w:rsid w:val="4FA71C42"/>
    <w:rsid w:val="4FBE626D"/>
    <w:rsid w:val="50047D3F"/>
    <w:rsid w:val="50803E7A"/>
    <w:rsid w:val="50952AAD"/>
    <w:rsid w:val="50D16751"/>
    <w:rsid w:val="50FC4159"/>
    <w:rsid w:val="51BC33A4"/>
    <w:rsid w:val="51E83731"/>
    <w:rsid w:val="52387E00"/>
    <w:rsid w:val="52657DC0"/>
    <w:rsid w:val="52A02608"/>
    <w:rsid w:val="53046661"/>
    <w:rsid w:val="53E913BD"/>
    <w:rsid w:val="53F344DD"/>
    <w:rsid w:val="53F34D30"/>
    <w:rsid w:val="54141C5F"/>
    <w:rsid w:val="5415308F"/>
    <w:rsid w:val="548E4C17"/>
    <w:rsid w:val="54E33DB4"/>
    <w:rsid w:val="559303C8"/>
    <w:rsid w:val="56902820"/>
    <w:rsid w:val="56D73D29"/>
    <w:rsid w:val="56D805CB"/>
    <w:rsid w:val="571E44CC"/>
    <w:rsid w:val="57252D4C"/>
    <w:rsid w:val="578951E7"/>
    <w:rsid w:val="57B242AE"/>
    <w:rsid w:val="580B1B2A"/>
    <w:rsid w:val="582D4E7E"/>
    <w:rsid w:val="585C7AD6"/>
    <w:rsid w:val="587E7112"/>
    <w:rsid w:val="58873EE9"/>
    <w:rsid w:val="58B90AAC"/>
    <w:rsid w:val="58D33E46"/>
    <w:rsid w:val="59451621"/>
    <w:rsid w:val="59804317"/>
    <w:rsid w:val="5A3916BC"/>
    <w:rsid w:val="5A5554D1"/>
    <w:rsid w:val="5ACB668C"/>
    <w:rsid w:val="5AD564E3"/>
    <w:rsid w:val="5AF453B5"/>
    <w:rsid w:val="5B4F5A23"/>
    <w:rsid w:val="5B9A48FE"/>
    <w:rsid w:val="5BE54260"/>
    <w:rsid w:val="5C03165A"/>
    <w:rsid w:val="5C753FBD"/>
    <w:rsid w:val="5C845BC3"/>
    <w:rsid w:val="5D0B6B17"/>
    <w:rsid w:val="5D265BFE"/>
    <w:rsid w:val="5DC638A4"/>
    <w:rsid w:val="5DE26877"/>
    <w:rsid w:val="5E0314D0"/>
    <w:rsid w:val="5E9F5E2F"/>
    <w:rsid w:val="5EA54D66"/>
    <w:rsid w:val="5ED27D96"/>
    <w:rsid w:val="5F335A07"/>
    <w:rsid w:val="5FAE3C1E"/>
    <w:rsid w:val="60176AA1"/>
    <w:rsid w:val="601C52A9"/>
    <w:rsid w:val="603B3B74"/>
    <w:rsid w:val="60B5412C"/>
    <w:rsid w:val="60BC6411"/>
    <w:rsid w:val="61385C53"/>
    <w:rsid w:val="61AF27D1"/>
    <w:rsid w:val="61D4570E"/>
    <w:rsid w:val="61FE73B1"/>
    <w:rsid w:val="62090166"/>
    <w:rsid w:val="621D6C97"/>
    <w:rsid w:val="628E517D"/>
    <w:rsid w:val="629C6F02"/>
    <w:rsid w:val="62F3291C"/>
    <w:rsid w:val="632D59F4"/>
    <w:rsid w:val="636D6759"/>
    <w:rsid w:val="63D17AAF"/>
    <w:rsid w:val="646466A7"/>
    <w:rsid w:val="646D5888"/>
    <w:rsid w:val="647B1F5A"/>
    <w:rsid w:val="649B770A"/>
    <w:rsid w:val="65B3429B"/>
    <w:rsid w:val="666B0042"/>
    <w:rsid w:val="6695767F"/>
    <w:rsid w:val="669876C5"/>
    <w:rsid w:val="669A6BCA"/>
    <w:rsid w:val="66A97CCD"/>
    <w:rsid w:val="66B83359"/>
    <w:rsid w:val="66D93407"/>
    <w:rsid w:val="66F52B79"/>
    <w:rsid w:val="674701DD"/>
    <w:rsid w:val="674E1284"/>
    <w:rsid w:val="67791B52"/>
    <w:rsid w:val="678F7D1C"/>
    <w:rsid w:val="67B02672"/>
    <w:rsid w:val="67F34F90"/>
    <w:rsid w:val="67FA6925"/>
    <w:rsid w:val="68F83689"/>
    <w:rsid w:val="68F9738C"/>
    <w:rsid w:val="690A41ED"/>
    <w:rsid w:val="6950210B"/>
    <w:rsid w:val="69B84930"/>
    <w:rsid w:val="6A3F058B"/>
    <w:rsid w:val="6A626D71"/>
    <w:rsid w:val="6AA1751A"/>
    <w:rsid w:val="6B3773F6"/>
    <w:rsid w:val="6B4260BD"/>
    <w:rsid w:val="6BFB6DB8"/>
    <w:rsid w:val="6D72001A"/>
    <w:rsid w:val="6D790A61"/>
    <w:rsid w:val="6DFF0623"/>
    <w:rsid w:val="6E585CBD"/>
    <w:rsid w:val="6E7D749A"/>
    <w:rsid w:val="6EC018FE"/>
    <w:rsid w:val="6FAC37F7"/>
    <w:rsid w:val="6FD518E1"/>
    <w:rsid w:val="702177F8"/>
    <w:rsid w:val="70617DA8"/>
    <w:rsid w:val="70680FA0"/>
    <w:rsid w:val="709A16D4"/>
    <w:rsid w:val="709A7B1B"/>
    <w:rsid w:val="70B558FD"/>
    <w:rsid w:val="71275730"/>
    <w:rsid w:val="7191735E"/>
    <w:rsid w:val="72270B56"/>
    <w:rsid w:val="738E763D"/>
    <w:rsid w:val="74521C25"/>
    <w:rsid w:val="746F038B"/>
    <w:rsid w:val="74BC07DB"/>
    <w:rsid w:val="75280129"/>
    <w:rsid w:val="7530247A"/>
    <w:rsid w:val="759978CC"/>
    <w:rsid w:val="76320D9A"/>
    <w:rsid w:val="76871284"/>
    <w:rsid w:val="769367A2"/>
    <w:rsid w:val="76AC769B"/>
    <w:rsid w:val="772D6395"/>
    <w:rsid w:val="776B7A4C"/>
    <w:rsid w:val="77DC6BAC"/>
    <w:rsid w:val="77EA2826"/>
    <w:rsid w:val="77EB1A53"/>
    <w:rsid w:val="782126F5"/>
    <w:rsid w:val="7863068B"/>
    <w:rsid w:val="78833509"/>
    <w:rsid w:val="78DE7EBE"/>
    <w:rsid w:val="78F0559D"/>
    <w:rsid w:val="78F63FBC"/>
    <w:rsid w:val="79497FA2"/>
    <w:rsid w:val="795B3975"/>
    <w:rsid w:val="796443F7"/>
    <w:rsid w:val="799A470F"/>
    <w:rsid w:val="7A496371"/>
    <w:rsid w:val="7A8B7C93"/>
    <w:rsid w:val="7ABC1705"/>
    <w:rsid w:val="7B0E64C9"/>
    <w:rsid w:val="7B17135D"/>
    <w:rsid w:val="7B3426D8"/>
    <w:rsid w:val="7B62251E"/>
    <w:rsid w:val="7BD16F30"/>
    <w:rsid w:val="7C1A4147"/>
    <w:rsid w:val="7CA32B8F"/>
    <w:rsid w:val="7CAD6BC4"/>
    <w:rsid w:val="7CC962C6"/>
    <w:rsid w:val="7CE51231"/>
    <w:rsid w:val="7CED0E52"/>
    <w:rsid w:val="7CF466CF"/>
    <w:rsid w:val="7D017AA5"/>
    <w:rsid w:val="7D272AF4"/>
    <w:rsid w:val="7DD773F4"/>
    <w:rsid w:val="7DFB663E"/>
    <w:rsid w:val="7EB30629"/>
    <w:rsid w:val="7EFC188F"/>
    <w:rsid w:val="7F2D7455"/>
    <w:rsid w:val="7F4C543C"/>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1"/>
    <w:next w:val="1"/>
    <w:link w:val="38"/>
    <w:qFormat/>
    <w:uiPriority w:val="0"/>
    <w:pPr>
      <w:tabs>
        <w:tab w:val="left" w:pos="432"/>
        <w:tab w:val="left" w:pos="720"/>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1"/>
    <w:next w:val="1"/>
    <w:link w:val="40"/>
    <w:qFormat/>
    <w:uiPriority w:val="0"/>
    <w:pPr>
      <w:tabs>
        <w:tab w:val="left" w:pos="432"/>
        <w:tab w:val="left" w:pos="1152"/>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4"/>
    <w:semiHidden/>
    <w:unhideWhenUsed/>
    <w:qFormat/>
    <w:uiPriority w:val="99"/>
    <w:pPr>
      <w:ind w:left="100" w:leftChars="200" w:hanging="200" w:hangingChars="200"/>
      <w:contextualSpacing/>
    </w:pPr>
  </w:style>
  <w:style w:type="paragraph" w:styleId="14">
    <w:name w:val="List"/>
    <w:basedOn w:val="1"/>
    <w:semiHidden/>
    <w:unhideWhenUsed/>
    <w:qFormat/>
    <w:uiPriority w:val="99"/>
    <w:pPr>
      <w:ind w:left="200" w:hanging="200" w:hangingChars="200"/>
      <w:contextualSpacing/>
    </w:pPr>
  </w:style>
  <w:style w:type="paragraph" w:styleId="15">
    <w:name w:val="Balloon Text"/>
    <w:basedOn w:val="1"/>
    <w:link w:val="47"/>
    <w:semiHidden/>
    <w:unhideWhenUsed/>
    <w:qFormat/>
    <w:uiPriority w:val="99"/>
    <w:rPr>
      <w:rFonts w:ascii="Cambria Math" w:hAnsi="Cambria Math" w:eastAsia="Cambria Math"/>
      <w:sz w:val="18"/>
      <w:szCs w:val="18"/>
    </w:rPr>
  </w:style>
  <w:style w:type="paragraph" w:styleId="16">
    <w:name w:val="footer"/>
    <w:basedOn w:val="17"/>
    <w:link w:val="48"/>
    <w:unhideWhenUsed/>
    <w:qFormat/>
    <w:uiPriority w:val="99"/>
    <w:pPr>
      <w:tabs>
        <w:tab w:val="center" w:pos="4153"/>
        <w:tab w:val="right" w:pos="8306"/>
      </w:tabs>
      <w:snapToGrid w:val="0"/>
    </w:pPr>
    <w:rPr>
      <w:rFonts w:ascii="Cambria Math" w:hAnsi="Cambria Math"/>
      <w:sz w:val="18"/>
      <w:szCs w:val="18"/>
    </w:rPr>
  </w:style>
  <w:style w:type="paragraph" w:styleId="17">
    <w:name w:val="header"/>
    <w:basedOn w:val="1"/>
    <w:link w:val="25"/>
    <w:qFormat/>
    <w:uiPriority w:val="99"/>
    <w:pPr>
      <w:tabs>
        <w:tab w:val="center" w:pos="4153"/>
        <w:tab w:val="right" w:pos="8306"/>
      </w:tabs>
    </w:pPr>
    <w:rPr>
      <w:rFonts w:eastAsia="Courier New"/>
      <w:sz w:val="20"/>
      <w:szCs w:val="20"/>
      <w:lang w:eastAsia="en-US"/>
    </w:r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7"/>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5"/>
    <w:semiHidden/>
    <w:qFormat/>
    <w:uiPriority w:val="99"/>
    <w:rPr>
      <w:rFonts w:ascii="Cambria Math" w:eastAsia="Cambria Math"/>
      <w:sz w:val="18"/>
      <w:szCs w:val="18"/>
    </w:rPr>
  </w:style>
  <w:style w:type="character" w:customStyle="1" w:styleId="48">
    <w:name w:val="页脚 字符"/>
    <w:link w:val="16"/>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4"/>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4</Pages>
  <Words>3418</Words>
  <Characters>19486</Characters>
  <Lines>162</Lines>
  <Paragraphs>45</Paragraphs>
  <TotalTime>1</TotalTime>
  <ScaleCrop>false</ScaleCrop>
  <LinksUpToDate>false</LinksUpToDate>
  <CharactersWithSpaces>22859</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2025-08-15T06:16:05Z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34D6510157444E8DA08695970280360A</vt:lpwstr>
  </property>
</Properties>
</file>